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jc w:val="center"/>
        <w:rPr>
          <w:rFonts w:hint="eastAsia" w:ascii="宋体" w:hAnsi="宋体" w:eastAsia="宋体" w:cs="宋体"/>
          <w:sz w:val="48"/>
          <w:szCs w:val="48"/>
          <w:lang w:val="en-US" w:eastAsia="zh-CN"/>
        </w:rPr>
      </w:pPr>
    </w:p>
    <w:p>
      <w:pPr>
        <w:bidi w:val="0"/>
        <w:jc w:val="center"/>
        <w:rPr>
          <w:rFonts w:hint="eastAsia" w:ascii="宋体" w:hAnsi="宋体" w:eastAsia="宋体" w:cs="宋体"/>
          <w:sz w:val="48"/>
          <w:szCs w:val="48"/>
          <w:lang w:val="en-US" w:eastAsia="zh-CN"/>
        </w:rPr>
      </w:pPr>
      <w:r>
        <w:rPr>
          <w:rFonts w:hint="eastAsia" w:ascii="宋体" w:hAnsi="宋体" w:cs="宋体"/>
          <w:sz w:val="48"/>
          <w:szCs w:val="48"/>
          <w:lang w:val="en-US" w:eastAsia="zh-CN"/>
        </w:rPr>
        <w:t>中国石油天然气股份有限公司呼和浩特石化分公司</w:t>
      </w:r>
      <w:r>
        <w:rPr>
          <w:rFonts w:hint="eastAsia" w:ascii="宋体" w:hAnsi="宋体" w:eastAsia="宋体" w:cs="宋体"/>
          <w:sz w:val="48"/>
          <w:szCs w:val="48"/>
          <w:lang w:val="en-US" w:eastAsia="zh-CN"/>
        </w:rPr>
        <w:t>突发环境事件</w:t>
      </w:r>
    </w:p>
    <w:p>
      <w:pPr>
        <w:bidi w:val="0"/>
        <w:jc w:val="center"/>
        <w:rPr>
          <w:rFonts w:hint="eastAsia" w:ascii="宋体" w:hAnsi="宋体" w:eastAsia="宋体" w:cs="宋体"/>
          <w:sz w:val="48"/>
          <w:szCs w:val="48"/>
          <w:lang w:val="en-US" w:eastAsia="zh-CN"/>
        </w:rPr>
      </w:pPr>
      <w:r>
        <w:rPr>
          <w:rFonts w:hint="eastAsia" w:ascii="宋体" w:hAnsi="宋体" w:eastAsia="宋体" w:cs="宋体"/>
          <w:sz w:val="48"/>
          <w:szCs w:val="48"/>
          <w:lang w:val="en-US" w:eastAsia="zh-CN"/>
        </w:rPr>
        <w:t>风险评估报告</w:t>
      </w:r>
    </w:p>
    <w:p>
      <w:pPr>
        <w:pStyle w:val="12"/>
        <w:ind w:left="0" w:leftChars="0" w:firstLine="0" w:firstLineChars="0"/>
        <w:jc w:val="center"/>
        <w:rPr>
          <w:rFonts w:hint="eastAsia"/>
          <w:lang w:val="en-US" w:eastAsia="zh-CN"/>
        </w:rPr>
      </w:pPr>
      <w:r>
        <w:rPr>
          <w:rFonts w:hint="eastAsia" w:ascii="宋体" w:hAnsi="宋体" w:cs="宋体"/>
          <w:sz w:val="48"/>
          <w:szCs w:val="48"/>
          <w:lang w:val="en-US" w:eastAsia="zh-CN"/>
        </w:rPr>
        <w:t>（第二版）</w:t>
      </w:r>
    </w:p>
    <w:p>
      <w:pPr>
        <w:pStyle w:val="24"/>
        <w:jc w:val="center"/>
        <w:rPr>
          <w:rFonts w:hint="eastAsia"/>
          <w:lang w:val="en-US" w:eastAsia="zh-CN"/>
        </w:rPr>
      </w:pPr>
    </w:p>
    <w:p>
      <w:pPr>
        <w:jc w:val="both"/>
        <w:rPr>
          <w:rFonts w:hint="eastAsia" w:ascii="宋体" w:hAnsi="宋体" w:eastAsia="宋体" w:cs="宋体"/>
          <w:bCs/>
          <w:sz w:val="36"/>
          <w:szCs w:val="36"/>
          <w:lang w:val="en-US" w:eastAsia="zh-CN"/>
        </w:rPr>
      </w:pPr>
    </w:p>
    <w:p>
      <w:pPr>
        <w:pStyle w:val="24"/>
        <w:rPr>
          <w:rFonts w:hint="eastAsia" w:ascii="宋体" w:hAnsi="宋体" w:eastAsia="宋体" w:cs="宋体"/>
          <w:bCs/>
          <w:sz w:val="36"/>
          <w:szCs w:val="36"/>
          <w:lang w:val="en-US" w:eastAsia="zh-CN"/>
        </w:rPr>
      </w:pPr>
    </w:p>
    <w:p>
      <w:pPr>
        <w:pStyle w:val="24"/>
        <w:rPr>
          <w:rFonts w:hint="eastAsia" w:ascii="宋体" w:hAnsi="宋体" w:eastAsia="宋体" w:cs="宋体"/>
          <w:bCs/>
          <w:sz w:val="36"/>
          <w:szCs w:val="36"/>
          <w:lang w:val="en-US" w:eastAsia="zh-CN"/>
        </w:rPr>
      </w:pPr>
    </w:p>
    <w:p>
      <w:pPr>
        <w:jc w:val="center"/>
        <w:rPr>
          <w:rFonts w:hint="eastAsia" w:ascii="宋体" w:hAnsi="宋体" w:eastAsia="宋体" w:cs="宋体"/>
          <w:bCs/>
          <w:sz w:val="36"/>
          <w:szCs w:val="36"/>
          <w:lang w:val="en-US" w:eastAsia="zh-CN"/>
        </w:rPr>
      </w:pPr>
    </w:p>
    <w:p>
      <w:pPr>
        <w:jc w:val="center"/>
        <w:rPr>
          <w:rFonts w:hint="eastAsia" w:ascii="宋体" w:hAnsi="宋体" w:eastAsia="宋体" w:cs="宋体"/>
          <w:bCs/>
          <w:sz w:val="36"/>
          <w:szCs w:val="36"/>
          <w:lang w:val="en-US" w:eastAsia="zh-CN"/>
        </w:rPr>
      </w:pPr>
    </w:p>
    <w:p>
      <w:pPr>
        <w:jc w:val="center"/>
        <w:rPr>
          <w:rFonts w:hint="eastAsia" w:ascii="宋体" w:hAnsi="宋体" w:eastAsia="宋体" w:cs="宋体"/>
          <w:bCs/>
          <w:sz w:val="36"/>
          <w:szCs w:val="36"/>
          <w:lang w:val="en-US" w:eastAsia="zh-CN"/>
        </w:rPr>
      </w:pPr>
    </w:p>
    <w:p>
      <w:pPr>
        <w:jc w:val="center"/>
        <w:rPr>
          <w:rFonts w:hint="eastAsia" w:ascii="宋体" w:hAnsi="宋体" w:eastAsia="宋体" w:cs="宋体"/>
          <w:bCs/>
          <w:sz w:val="36"/>
          <w:szCs w:val="36"/>
          <w:lang w:val="en-US" w:eastAsia="zh-CN"/>
        </w:rPr>
      </w:pPr>
    </w:p>
    <w:p>
      <w:pPr>
        <w:jc w:val="center"/>
        <w:rPr>
          <w:rFonts w:hint="eastAsia" w:ascii="宋体" w:hAnsi="宋体" w:cs="宋体"/>
          <w:bCs/>
          <w:sz w:val="32"/>
          <w:szCs w:val="32"/>
          <w:lang w:val="en-US" w:eastAsia="zh-CN"/>
        </w:rPr>
      </w:pPr>
    </w:p>
    <w:p>
      <w:pPr>
        <w:jc w:val="center"/>
        <w:rPr>
          <w:rFonts w:hint="eastAsia" w:ascii="宋体" w:hAnsi="宋体" w:cs="宋体"/>
          <w:bCs/>
          <w:sz w:val="32"/>
          <w:szCs w:val="32"/>
          <w:lang w:val="en-US" w:eastAsia="zh-CN"/>
        </w:rPr>
      </w:pPr>
      <w:r>
        <w:rPr>
          <w:rFonts w:hint="eastAsia" w:ascii="宋体" w:hAnsi="宋体" w:cs="宋体"/>
          <w:bCs/>
          <w:sz w:val="32"/>
          <w:szCs w:val="32"/>
          <w:lang w:val="en-US" w:eastAsia="zh-CN"/>
        </w:rPr>
        <w:t>中国石油天然气股份有限公司呼和浩特石化分公司</w:t>
      </w:r>
    </w:p>
    <w:p>
      <w:pPr>
        <w:jc w:val="center"/>
        <w:rPr>
          <w:rFonts w:hint="eastAsia" w:ascii="宋体" w:hAnsi="宋体" w:cs="宋体"/>
          <w:bCs/>
          <w:sz w:val="32"/>
          <w:szCs w:val="32"/>
          <w:lang w:val="en-US" w:eastAsia="zh-CN"/>
        </w:rPr>
      </w:pPr>
      <w:r>
        <w:rPr>
          <w:rFonts w:hint="eastAsia" w:ascii="宋体" w:hAnsi="宋体" w:cs="宋体"/>
          <w:bCs/>
          <w:sz w:val="32"/>
          <w:szCs w:val="32"/>
          <w:lang w:val="en-US" w:eastAsia="zh-CN"/>
        </w:rPr>
        <w:t>颁布日期：二〇二四年十二月</w:t>
      </w:r>
    </w:p>
    <w:p>
      <w:pPr>
        <w:rPr>
          <w:rFonts w:hint="eastAsia" w:ascii="宋体" w:hAnsi="宋体" w:eastAsia="宋体" w:cs="宋体"/>
        </w:rPr>
      </w:pPr>
      <w:r>
        <w:rPr>
          <w:rFonts w:hint="eastAsia" w:ascii="宋体" w:hAnsi="宋体" w:eastAsia="宋体" w:cs="宋体"/>
        </w:rPr>
        <w:br w:type="page"/>
      </w:r>
    </w:p>
    <w:p>
      <w:pPr>
        <w:spacing w:before="0" w:beforeLines="0" w:after="0" w:afterLines="0" w:line="240" w:lineRule="auto"/>
        <w:ind w:left="0" w:leftChars="0" w:right="0" w:rightChars="0" w:firstLine="0" w:firstLineChars="0"/>
        <w:jc w:val="center"/>
        <w:rPr>
          <w:sz w:val="28"/>
          <w:szCs w:val="28"/>
        </w:rPr>
      </w:pPr>
      <w:r>
        <w:rPr>
          <w:rFonts w:ascii="宋体" w:hAnsi="宋体" w:eastAsia="宋体"/>
          <w:sz w:val="28"/>
          <w:szCs w:val="28"/>
        </w:rPr>
        <w:t>目</w:t>
      </w:r>
      <w:r>
        <w:rPr>
          <w:rFonts w:hint="eastAsia" w:ascii="宋体" w:hAnsi="宋体"/>
          <w:sz w:val="28"/>
          <w:szCs w:val="28"/>
          <w:lang w:val="en-US" w:eastAsia="zh-CN"/>
        </w:rPr>
        <w:t xml:space="preserve"> </w:t>
      </w:r>
      <w:r>
        <w:rPr>
          <w:rFonts w:ascii="宋体" w:hAnsi="宋体" w:eastAsia="宋体"/>
          <w:sz w:val="28"/>
          <w:szCs w:val="28"/>
        </w:rPr>
        <w:t>录</w:t>
      </w:r>
    </w:p>
    <w:sdt>
      <w:sdtPr>
        <w:rPr>
          <w:rFonts w:ascii="宋体" w:hAnsi="宋体" w:eastAsia="宋体" w:cs="Times New Roman"/>
          <w:kern w:val="2"/>
          <w:sz w:val="21"/>
          <w:szCs w:val="24"/>
          <w:lang w:val="en-US" w:eastAsia="zh-CN" w:bidi="ar-SA"/>
        </w:rPr>
        <w:id w:val="147456780"/>
        <w15:color w:val="DBDBDB"/>
        <w:docPartObj>
          <w:docPartGallery w:val="Table of Contents"/>
          <w:docPartUnique/>
        </w:docPartObj>
      </w:sdtPr>
      <w:sdtEndPr>
        <w:rPr>
          <w:rFonts w:hint="eastAsia" w:ascii="Calibri" w:hAnsi="Calibri" w:eastAsia="宋体" w:cs="Times New Roman"/>
          <w:kern w:val="0"/>
          <w:sz w:val="21"/>
          <w:szCs w:val="28"/>
          <w:lang w:val="en-US" w:eastAsia="zh-CN" w:bidi="ar-SA"/>
        </w:rPr>
      </w:sdtEndPr>
      <w:sdtContent>
        <w:p>
          <w:pPr>
            <w:spacing w:before="0" w:beforeLines="0" w:after="0" w:afterLines="0" w:line="240" w:lineRule="auto"/>
            <w:ind w:left="0" w:leftChars="0" w:right="0" w:rightChars="0" w:firstLine="0" w:firstLineChars="0"/>
            <w:jc w:val="center"/>
          </w:pPr>
        </w:p>
        <w:p>
          <w:pPr>
            <w:pStyle w:val="15"/>
            <w:tabs>
              <w:tab w:val="right" w:leader="dot" w:pos="8250"/>
            </w:tabs>
          </w:pPr>
          <w:r>
            <w:rPr>
              <w:rFonts w:hint="eastAsia"/>
            </w:rPr>
            <w:fldChar w:fldCharType="begin"/>
          </w:r>
          <w:r>
            <w:rPr>
              <w:rFonts w:hint="eastAsia"/>
            </w:rPr>
            <w:instrText xml:space="preserve">TOC \o "1-3" \h \u </w:instrText>
          </w:r>
          <w:r>
            <w:rPr>
              <w:rFonts w:hint="eastAsia"/>
            </w:rPr>
            <w:fldChar w:fldCharType="separate"/>
          </w:r>
          <w:r>
            <w:rPr>
              <w:rFonts w:hint="eastAsia"/>
            </w:rPr>
            <w:fldChar w:fldCharType="begin"/>
          </w:r>
          <w:r>
            <w:rPr>
              <w:rFonts w:hint="eastAsia"/>
            </w:rPr>
            <w:instrText xml:space="preserve"> HYPERLINK \l _Toc18069 </w:instrText>
          </w:r>
          <w:r>
            <w:rPr>
              <w:rFonts w:hint="eastAsia"/>
            </w:rPr>
            <w:fldChar w:fldCharType="separate"/>
          </w:r>
          <w:r>
            <w:rPr>
              <w:rFonts w:hint="eastAsia"/>
              <w:lang w:val="en-US" w:eastAsia="zh-CN"/>
            </w:rPr>
            <w:t>1前言</w:t>
          </w:r>
          <w:r>
            <w:tab/>
          </w:r>
          <w:r>
            <w:fldChar w:fldCharType="begin"/>
          </w:r>
          <w:r>
            <w:instrText xml:space="preserve"> PAGEREF _Toc18069 \h </w:instrText>
          </w:r>
          <w:r>
            <w:fldChar w:fldCharType="separate"/>
          </w:r>
          <w:r>
            <w:t>1</w:t>
          </w:r>
          <w:r>
            <w:fldChar w:fldCharType="end"/>
          </w:r>
          <w:r>
            <w:rPr>
              <w:rFonts w:hint="eastAsia"/>
            </w:rPr>
            <w:fldChar w:fldCharType="end"/>
          </w:r>
        </w:p>
        <w:p>
          <w:pPr>
            <w:pStyle w:val="15"/>
            <w:tabs>
              <w:tab w:val="right" w:leader="dot" w:pos="8250"/>
            </w:tabs>
          </w:pPr>
          <w:r>
            <w:rPr>
              <w:rFonts w:hint="eastAsia"/>
            </w:rPr>
            <w:fldChar w:fldCharType="begin"/>
          </w:r>
          <w:r>
            <w:rPr>
              <w:rFonts w:hint="eastAsia"/>
            </w:rPr>
            <w:instrText xml:space="preserve"> HYPERLINK \l _Toc8687 </w:instrText>
          </w:r>
          <w:r>
            <w:rPr>
              <w:rFonts w:hint="eastAsia"/>
            </w:rPr>
            <w:fldChar w:fldCharType="separate"/>
          </w:r>
          <w:r>
            <w:rPr>
              <w:rFonts w:hint="eastAsia" w:ascii="宋体" w:hAnsi="宋体" w:eastAsia="宋体" w:cs="宋体"/>
            </w:rPr>
            <w:t>2总则</w:t>
          </w:r>
          <w:r>
            <w:tab/>
          </w:r>
          <w:r>
            <w:fldChar w:fldCharType="begin"/>
          </w:r>
          <w:r>
            <w:instrText xml:space="preserve"> PAGEREF _Toc8687 \h </w:instrText>
          </w:r>
          <w:r>
            <w:fldChar w:fldCharType="separate"/>
          </w:r>
          <w:r>
            <w:t>4</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_Toc18741 </w:instrText>
          </w:r>
          <w:r>
            <w:rPr>
              <w:rFonts w:hint="eastAsia"/>
            </w:rPr>
            <w:fldChar w:fldCharType="separate"/>
          </w:r>
          <w:r>
            <w:rPr>
              <w:rFonts w:hint="eastAsia" w:ascii="宋体" w:hAnsi="宋体" w:eastAsia="宋体" w:cs="宋体"/>
            </w:rPr>
            <w:t>2.1编制原则</w:t>
          </w:r>
          <w:r>
            <w:tab/>
          </w:r>
          <w:r>
            <w:fldChar w:fldCharType="begin"/>
          </w:r>
          <w:r>
            <w:instrText xml:space="preserve"> PAGEREF _Toc18741 \h </w:instrText>
          </w:r>
          <w:r>
            <w:fldChar w:fldCharType="separate"/>
          </w:r>
          <w:r>
            <w:t>4</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_Toc19862 </w:instrText>
          </w:r>
          <w:r>
            <w:rPr>
              <w:rFonts w:hint="eastAsia"/>
            </w:rPr>
            <w:fldChar w:fldCharType="separate"/>
          </w:r>
          <w:r>
            <w:rPr>
              <w:rFonts w:hint="eastAsia" w:ascii="宋体" w:hAnsi="宋体" w:eastAsia="宋体" w:cs="宋体"/>
            </w:rPr>
            <w:t>2.2编制依据</w:t>
          </w:r>
          <w:r>
            <w:tab/>
          </w:r>
          <w:r>
            <w:fldChar w:fldCharType="begin"/>
          </w:r>
          <w:r>
            <w:instrText xml:space="preserve"> PAGEREF _Toc19862 \h </w:instrText>
          </w:r>
          <w:r>
            <w:fldChar w:fldCharType="separate"/>
          </w:r>
          <w:r>
            <w:t>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_Toc8004 </w:instrText>
          </w:r>
          <w:r>
            <w:rPr>
              <w:rFonts w:hint="eastAsia"/>
            </w:rPr>
            <w:fldChar w:fldCharType="separate"/>
          </w:r>
          <w:r>
            <w:rPr>
              <w:rFonts w:hint="eastAsia" w:ascii="宋体" w:hAnsi="宋体" w:eastAsia="宋体" w:cs="宋体"/>
              <w:lang w:val="en-US" w:eastAsia="zh-CN"/>
            </w:rPr>
            <w:t>2.2</w:t>
          </w:r>
          <w:r>
            <w:rPr>
              <w:rFonts w:hint="eastAsia" w:ascii="宋体" w:hAnsi="宋体" w:eastAsia="宋体" w:cs="宋体"/>
            </w:rPr>
            <w:t>.1相关法律</w:t>
          </w:r>
          <w:r>
            <w:tab/>
          </w:r>
          <w:r>
            <w:fldChar w:fldCharType="begin"/>
          </w:r>
          <w:r>
            <w:instrText xml:space="preserve"> PAGEREF _Toc8004 \h </w:instrText>
          </w:r>
          <w:r>
            <w:fldChar w:fldCharType="separate"/>
          </w:r>
          <w:r>
            <w:t>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_Toc25971 </w:instrText>
          </w:r>
          <w:r>
            <w:rPr>
              <w:rFonts w:hint="eastAsia"/>
            </w:rPr>
            <w:fldChar w:fldCharType="separate"/>
          </w:r>
          <w:r>
            <w:rPr>
              <w:rFonts w:hint="eastAsia" w:ascii="宋体" w:hAnsi="宋体" w:eastAsia="宋体" w:cs="宋体"/>
              <w:lang w:val="en-US" w:eastAsia="zh-CN"/>
            </w:rPr>
            <w:t>2</w:t>
          </w:r>
          <w:r>
            <w:rPr>
              <w:rFonts w:hint="eastAsia" w:ascii="宋体" w:hAnsi="宋体" w:eastAsia="宋体" w:cs="宋体"/>
            </w:rPr>
            <w:t>.2.2相关法规及规章</w:t>
          </w:r>
          <w:r>
            <w:tab/>
          </w:r>
          <w:r>
            <w:fldChar w:fldCharType="begin"/>
          </w:r>
          <w:r>
            <w:instrText xml:space="preserve"> PAGEREF _Toc25971 \h </w:instrText>
          </w:r>
          <w:r>
            <w:fldChar w:fldCharType="separate"/>
          </w:r>
          <w:r>
            <w:t>5</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_Toc6698 </w:instrText>
          </w:r>
          <w:r>
            <w:rPr>
              <w:rFonts w:hint="eastAsia"/>
            </w:rPr>
            <w:fldChar w:fldCharType="separate"/>
          </w:r>
          <w:r>
            <w:rPr>
              <w:rFonts w:hint="eastAsia" w:ascii="宋体" w:hAnsi="宋体" w:eastAsia="宋体" w:cs="宋体"/>
              <w:lang w:val="en-US" w:eastAsia="zh-CN"/>
            </w:rPr>
            <w:t>2</w:t>
          </w:r>
          <w:r>
            <w:rPr>
              <w:rFonts w:hint="eastAsia" w:ascii="宋体" w:hAnsi="宋体" w:eastAsia="宋体" w:cs="宋体"/>
            </w:rPr>
            <w:t>.2.3相关规范性文件及技术指南</w:t>
          </w:r>
          <w:r>
            <w:tab/>
          </w:r>
          <w:r>
            <w:fldChar w:fldCharType="begin"/>
          </w:r>
          <w:r>
            <w:instrText xml:space="preserve"> PAGEREF _Toc6698 \h </w:instrText>
          </w:r>
          <w:r>
            <w:fldChar w:fldCharType="separate"/>
          </w:r>
          <w:r>
            <w:t>7</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_Toc31596 </w:instrText>
          </w:r>
          <w:r>
            <w:rPr>
              <w:rFonts w:hint="eastAsia"/>
            </w:rPr>
            <w:fldChar w:fldCharType="separate"/>
          </w:r>
          <w:r>
            <w:rPr>
              <w:rFonts w:hint="eastAsia" w:ascii="宋体" w:hAnsi="宋体" w:eastAsia="宋体" w:cs="宋体"/>
              <w:lang w:val="en-US" w:eastAsia="zh-CN"/>
            </w:rPr>
            <w:t>2</w:t>
          </w:r>
          <w:r>
            <w:rPr>
              <w:rFonts w:hint="eastAsia" w:ascii="宋体" w:hAnsi="宋体" w:eastAsia="宋体" w:cs="宋体"/>
            </w:rPr>
            <w:t>.2.4相关应急预案</w:t>
          </w:r>
          <w:r>
            <w:tab/>
          </w:r>
          <w:r>
            <w:fldChar w:fldCharType="begin"/>
          </w:r>
          <w:r>
            <w:instrText xml:space="preserve"> PAGEREF _Toc31596 \h </w:instrText>
          </w:r>
          <w:r>
            <w:fldChar w:fldCharType="separate"/>
          </w:r>
          <w:r>
            <w:t>7</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_Toc23014 </w:instrText>
          </w:r>
          <w:r>
            <w:rPr>
              <w:rFonts w:hint="eastAsia"/>
            </w:rPr>
            <w:fldChar w:fldCharType="separate"/>
          </w:r>
          <w:r>
            <w:rPr>
              <w:rFonts w:hint="eastAsia" w:ascii="宋体" w:hAnsi="宋体" w:eastAsia="宋体" w:cs="宋体"/>
            </w:rPr>
            <w:t>2.3评估范围</w:t>
          </w:r>
          <w:r>
            <w:tab/>
          </w:r>
          <w:r>
            <w:fldChar w:fldCharType="begin"/>
          </w:r>
          <w:r>
            <w:instrText xml:space="preserve"> PAGEREF _Toc23014 \h </w:instrText>
          </w:r>
          <w:r>
            <w:fldChar w:fldCharType="separate"/>
          </w:r>
          <w:r>
            <w:t>8</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_Toc30311 </w:instrText>
          </w:r>
          <w:r>
            <w:rPr>
              <w:rFonts w:hint="eastAsia"/>
            </w:rPr>
            <w:fldChar w:fldCharType="separate"/>
          </w:r>
          <w:r>
            <w:rPr>
              <w:rFonts w:hint="eastAsia" w:ascii="宋体" w:hAnsi="宋体" w:eastAsia="宋体" w:cs="宋体"/>
            </w:rPr>
            <w:t>2.4评估方法</w:t>
          </w:r>
          <w:r>
            <w:tab/>
          </w:r>
          <w:r>
            <w:fldChar w:fldCharType="begin"/>
          </w:r>
          <w:r>
            <w:instrText xml:space="preserve"> PAGEREF _Toc30311 \h </w:instrText>
          </w:r>
          <w:r>
            <w:fldChar w:fldCharType="separate"/>
          </w:r>
          <w:r>
            <w:t>8</w:t>
          </w:r>
          <w:r>
            <w:fldChar w:fldCharType="end"/>
          </w:r>
          <w:r>
            <w:rPr>
              <w:rFonts w:hint="eastAsia"/>
            </w:rPr>
            <w:fldChar w:fldCharType="end"/>
          </w:r>
        </w:p>
        <w:p>
          <w:pPr>
            <w:pStyle w:val="15"/>
            <w:tabs>
              <w:tab w:val="right" w:leader="dot" w:pos="8250"/>
            </w:tabs>
          </w:pPr>
          <w:r>
            <w:rPr>
              <w:rFonts w:hint="eastAsia"/>
            </w:rPr>
            <w:fldChar w:fldCharType="begin"/>
          </w:r>
          <w:r>
            <w:rPr>
              <w:rFonts w:hint="eastAsia"/>
            </w:rPr>
            <w:instrText xml:space="preserve"> HYPERLINK \l _Toc32003 </w:instrText>
          </w:r>
          <w:r>
            <w:rPr>
              <w:rFonts w:hint="eastAsia"/>
            </w:rPr>
            <w:fldChar w:fldCharType="separate"/>
          </w:r>
          <w:r>
            <w:rPr>
              <w:rFonts w:hint="eastAsia"/>
            </w:rPr>
            <w:t>3资料准备与环境风险识别</w:t>
          </w:r>
          <w:r>
            <w:tab/>
          </w:r>
          <w:r>
            <w:fldChar w:fldCharType="begin"/>
          </w:r>
          <w:r>
            <w:instrText xml:space="preserve"> PAGEREF _Toc32003 \h </w:instrText>
          </w:r>
          <w:r>
            <w:fldChar w:fldCharType="separate"/>
          </w:r>
          <w:r>
            <w:t>10</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_Toc10498 </w:instrText>
          </w:r>
          <w:r>
            <w:rPr>
              <w:rFonts w:hint="eastAsia"/>
            </w:rPr>
            <w:fldChar w:fldCharType="separate"/>
          </w:r>
          <w:r>
            <w:rPr>
              <w:rFonts w:hint="eastAsia" w:ascii="宋体" w:hAnsi="宋体" w:eastAsia="宋体" w:cs="宋体"/>
            </w:rPr>
            <w:t>3.1企业基本信息</w:t>
          </w:r>
          <w:r>
            <w:tab/>
          </w:r>
          <w:r>
            <w:fldChar w:fldCharType="begin"/>
          </w:r>
          <w:r>
            <w:instrText xml:space="preserve"> PAGEREF _Toc10498 \h </w:instrText>
          </w:r>
          <w:r>
            <w:fldChar w:fldCharType="separate"/>
          </w:r>
          <w:r>
            <w:t>10</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_Toc21185 </w:instrText>
          </w:r>
          <w:r>
            <w:rPr>
              <w:rFonts w:hint="eastAsia"/>
            </w:rPr>
            <w:fldChar w:fldCharType="separate"/>
          </w:r>
          <w:r>
            <w:rPr>
              <w:rFonts w:hint="eastAsia" w:ascii="宋体" w:hAnsi="宋体" w:eastAsia="宋体" w:cs="宋体"/>
              <w:lang w:val="en-US" w:eastAsia="zh-CN"/>
            </w:rPr>
            <w:t>3.1.1项目概况</w:t>
          </w:r>
          <w:r>
            <w:tab/>
          </w:r>
          <w:r>
            <w:fldChar w:fldCharType="begin"/>
          </w:r>
          <w:r>
            <w:instrText xml:space="preserve"> PAGEREF _Toc21185 \h </w:instrText>
          </w:r>
          <w:r>
            <w:fldChar w:fldCharType="separate"/>
          </w:r>
          <w:r>
            <w:t>10</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_Toc30507 </w:instrText>
          </w:r>
          <w:r>
            <w:rPr>
              <w:rFonts w:hint="eastAsia"/>
            </w:rPr>
            <w:fldChar w:fldCharType="separate"/>
          </w:r>
          <w:r>
            <w:rPr>
              <w:rFonts w:hint="eastAsia" w:ascii="宋体" w:hAnsi="宋体" w:eastAsia="宋体" w:cs="宋体"/>
              <w:lang w:val="en-US" w:eastAsia="zh-CN"/>
            </w:rPr>
            <w:t>3.1.2</w:t>
          </w:r>
          <w:r>
            <w:rPr>
              <w:rFonts w:hint="eastAsia" w:ascii="宋体" w:hAnsi="宋体" w:eastAsia="宋体" w:cs="宋体"/>
            </w:rPr>
            <w:t>工艺流程</w:t>
          </w:r>
          <w:r>
            <w:tab/>
          </w:r>
          <w:r>
            <w:fldChar w:fldCharType="begin"/>
          </w:r>
          <w:r>
            <w:instrText xml:space="preserve"> PAGEREF _Toc30507 \h </w:instrText>
          </w:r>
          <w:r>
            <w:fldChar w:fldCharType="separate"/>
          </w:r>
          <w:r>
            <w:t>12</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_Toc10282 </w:instrText>
          </w:r>
          <w:r>
            <w:rPr>
              <w:rFonts w:hint="eastAsia"/>
            </w:rPr>
            <w:fldChar w:fldCharType="separate"/>
          </w:r>
          <w:r>
            <w:rPr>
              <w:rFonts w:hint="default"/>
              <w:lang w:val="en-US" w:eastAsia="zh-CN"/>
            </w:rPr>
            <w:t>3.</w:t>
          </w:r>
          <w:r>
            <w:rPr>
              <w:rFonts w:hint="eastAsia"/>
              <w:lang w:val="en-US" w:eastAsia="zh-CN"/>
            </w:rPr>
            <w:t>1.3</w:t>
          </w:r>
          <w:r>
            <w:rPr>
              <w:rFonts w:hint="default"/>
              <w:lang w:val="en-US" w:eastAsia="zh-CN"/>
            </w:rPr>
            <w:t>污染物处理措施</w:t>
          </w:r>
          <w:r>
            <w:tab/>
          </w:r>
          <w:r>
            <w:fldChar w:fldCharType="begin"/>
          </w:r>
          <w:r>
            <w:instrText xml:space="preserve"> PAGEREF _Toc10282 \h </w:instrText>
          </w:r>
          <w:r>
            <w:fldChar w:fldCharType="separate"/>
          </w:r>
          <w:r>
            <w:t>79</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_Toc28908 </w:instrText>
          </w:r>
          <w:r>
            <w:rPr>
              <w:rFonts w:hint="eastAsia"/>
            </w:rPr>
            <w:fldChar w:fldCharType="separate"/>
          </w:r>
          <w:r>
            <w:rPr>
              <w:rFonts w:hint="eastAsia" w:ascii="宋体" w:hAnsi="宋体" w:eastAsia="宋体" w:cs="宋体"/>
              <w:lang w:val="en-US" w:eastAsia="zh-CN"/>
            </w:rPr>
            <w:t>3.2项目自然环境概况</w:t>
          </w:r>
          <w:r>
            <w:tab/>
          </w:r>
          <w:r>
            <w:fldChar w:fldCharType="begin"/>
          </w:r>
          <w:r>
            <w:instrText xml:space="preserve"> PAGEREF _Toc28908 \h </w:instrText>
          </w:r>
          <w:r>
            <w:fldChar w:fldCharType="separate"/>
          </w:r>
          <w:r>
            <w:t>85</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_Toc8216 </w:instrText>
          </w:r>
          <w:r>
            <w:rPr>
              <w:rFonts w:hint="eastAsia"/>
            </w:rPr>
            <w:fldChar w:fldCharType="separate"/>
          </w:r>
          <w:r>
            <w:rPr>
              <w:rFonts w:hint="eastAsia" w:ascii="宋体" w:hAnsi="宋体" w:eastAsia="宋体" w:cs="宋体"/>
            </w:rPr>
            <w:t>3</w:t>
          </w:r>
          <w:r>
            <w:rPr>
              <w:rFonts w:hint="eastAsia" w:ascii="宋体" w:hAnsi="宋体" w:eastAsia="宋体" w:cs="宋体"/>
              <w:lang w:val="en-US" w:eastAsia="zh-CN"/>
            </w:rPr>
            <w:t>.</w:t>
          </w:r>
          <w:r>
            <w:rPr>
              <w:rFonts w:hint="eastAsia" w:ascii="宋体" w:hAnsi="宋体" w:eastAsia="宋体" w:cs="宋体"/>
            </w:rPr>
            <w:t>3环境功能区划及环境质量现状</w:t>
          </w:r>
          <w:r>
            <w:tab/>
          </w:r>
          <w:r>
            <w:fldChar w:fldCharType="begin"/>
          </w:r>
          <w:r>
            <w:instrText xml:space="preserve"> PAGEREF _Toc8216 \h </w:instrText>
          </w:r>
          <w:r>
            <w:fldChar w:fldCharType="separate"/>
          </w:r>
          <w:r>
            <w:t>89</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_Toc24622 </w:instrText>
          </w:r>
          <w:r>
            <w:rPr>
              <w:rFonts w:hint="eastAsia"/>
            </w:rPr>
            <w:fldChar w:fldCharType="separate"/>
          </w:r>
          <w:r>
            <w:rPr>
              <w:rFonts w:hint="eastAsia" w:ascii="宋体" w:hAnsi="宋体" w:eastAsia="宋体" w:cs="宋体"/>
            </w:rPr>
            <w:t>3.</w:t>
          </w:r>
          <w:r>
            <w:rPr>
              <w:rFonts w:hint="eastAsia" w:ascii="宋体" w:hAnsi="宋体" w:eastAsia="宋体" w:cs="宋体"/>
              <w:lang w:val="en-US" w:eastAsia="zh-CN"/>
            </w:rPr>
            <w:t>4</w:t>
          </w:r>
          <w:r>
            <w:rPr>
              <w:rFonts w:hint="eastAsia" w:ascii="宋体" w:hAnsi="宋体" w:eastAsia="宋体" w:cs="宋体"/>
            </w:rPr>
            <w:t>企业周边环境风险受体情况</w:t>
          </w:r>
          <w:r>
            <w:tab/>
          </w:r>
          <w:r>
            <w:fldChar w:fldCharType="begin"/>
          </w:r>
          <w:r>
            <w:instrText xml:space="preserve"> PAGEREF _Toc24622 \h </w:instrText>
          </w:r>
          <w:r>
            <w:fldChar w:fldCharType="separate"/>
          </w:r>
          <w:r>
            <w:t>90</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_Toc14667 </w:instrText>
          </w:r>
          <w:r>
            <w:rPr>
              <w:rFonts w:hint="eastAsia"/>
            </w:rPr>
            <w:fldChar w:fldCharType="separate"/>
          </w:r>
          <w:r>
            <w:rPr>
              <w:rFonts w:hint="eastAsia" w:ascii="宋体" w:hAnsi="宋体" w:eastAsia="宋体" w:cs="宋体"/>
              <w:lang w:val="en-US" w:eastAsia="zh-CN"/>
            </w:rPr>
            <w:t>3.5</w:t>
          </w:r>
          <w:r>
            <w:rPr>
              <w:rFonts w:hint="eastAsia" w:ascii="宋体" w:hAnsi="宋体" w:eastAsia="宋体" w:cs="宋体"/>
            </w:rPr>
            <w:t>风险识别</w:t>
          </w:r>
          <w:r>
            <w:tab/>
          </w:r>
          <w:r>
            <w:fldChar w:fldCharType="begin"/>
          </w:r>
          <w:r>
            <w:instrText xml:space="preserve"> PAGEREF _Toc14667 \h </w:instrText>
          </w:r>
          <w:r>
            <w:fldChar w:fldCharType="separate"/>
          </w:r>
          <w:r>
            <w:t>94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_Toc6981 </w:instrText>
          </w:r>
          <w:r>
            <w:rPr>
              <w:rFonts w:hint="eastAsia"/>
            </w:rPr>
            <w:fldChar w:fldCharType="separate"/>
          </w:r>
          <w:r>
            <w:rPr>
              <w:rFonts w:hint="eastAsia"/>
              <w:lang w:val="en-US" w:eastAsia="zh-CN"/>
            </w:rPr>
            <w:t>3.5.1</w:t>
          </w:r>
          <w:r>
            <w:rPr>
              <w:rFonts w:hint="default" w:ascii="Times New Roman" w:hAnsi="Times New Roman" w:eastAsia="宋体" w:cs="Times New Roman"/>
              <w:bCs/>
              <w:kern w:val="0"/>
              <w:szCs w:val="24"/>
              <w:lang w:val="en-US" w:eastAsia="zh-CN"/>
            </w:rPr>
            <w:t>环境风险物质识别</w:t>
          </w:r>
          <w:r>
            <w:tab/>
          </w:r>
          <w:r>
            <w:fldChar w:fldCharType="begin"/>
          </w:r>
          <w:r>
            <w:instrText xml:space="preserve"> PAGEREF _Toc6981 \h </w:instrText>
          </w:r>
          <w:r>
            <w:fldChar w:fldCharType="separate"/>
          </w:r>
          <w:r>
            <w:t>94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_Toc16659 </w:instrText>
          </w:r>
          <w:r>
            <w:rPr>
              <w:rFonts w:hint="eastAsia"/>
            </w:rPr>
            <w:fldChar w:fldCharType="separate"/>
          </w:r>
          <w:r>
            <w:rPr>
              <w:rFonts w:hint="eastAsia"/>
              <w:lang w:val="en-US" w:eastAsia="zh-CN"/>
            </w:rPr>
            <w:t>3.5.2风险单元识别</w:t>
          </w:r>
          <w:r>
            <w:tab/>
          </w:r>
          <w:r>
            <w:fldChar w:fldCharType="begin"/>
          </w:r>
          <w:r>
            <w:instrText xml:space="preserve"> PAGEREF _Toc16659 \h </w:instrText>
          </w:r>
          <w:r>
            <w:fldChar w:fldCharType="separate"/>
          </w:r>
          <w:r>
            <w:t>132</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_Toc29030 </w:instrText>
          </w:r>
          <w:r>
            <w:rPr>
              <w:rFonts w:hint="eastAsia"/>
            </w:rPr>
            <w:fldChar w:fldCharType="separate"/>
          </w:r>
          <w:r>
            <w:rPr>
              <w:rFonts w:hint="default"/>
              <w:lang w:val="en-US" w:eastAsia="zh-CN"/>
            </w:rPr>
            <w:t>3.</w:t>
          </w:r>
          <w:r>
            <w:rPr>
              <w:rFonts w:hint="eastAsia"/>
              <w:lang w:val="en-US" w:eastAsia="zh-CN"/>
            </w:rPr>
            <w:t>5</w:t>
          </w:r>
          <w:r>
            <w:rPr>
              <w:rFonts w:hint="default"/>
              <w:lang w:val="en-US" w:eastAsia="zh-CN"/>
            </w:rPr>
            <w:t>.</w:t>
          </w:r>
          <w:r>
            <w:rPr>
              <w:rFonts w:hint="eastAsia"/>
              <w:lang w:val="en-US" w:eastAsia="zh-CN"/>
            </w:rPr>
            <w:t>3生产工艺和设施风险识别</w:t>
          </w:r>
          <w:r>
            <w:tab/>
          </w:r>
          <w:r>
            <w:fldChar w:fldCharType="begin"/>
          </w:r>
          <w:r>
            <w:instrText xml:space="preserve"> PAGEREF _Toc29030 \h </w:instrText>
          </w:r>
          <w:r>
            <w:fldChar w:fldCharType="separate"/>
          </w:r>
          <w:r>
            <w:t>134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_Toc11373 </w:instrText>
          </w:r>
          <w:r>
            <w:rPr>
              <w:rFonts w:hint="eastAsia"/>
            </w:rPr>
            <w:fldChar w:fldCharType="separate"/>
          </w:r>
          <w:r>
            <w:rPr>
              <w:rFonts w:hint="default"/>
              <w:lang w:val="en-US" w:eastAsia="zh-CN"/>
            </w:rPr>
            <w:t>3.</w:t>
          </w:r>
          <w:r>
            <w:rPr>
              <w:rFonts w:hint="eastAsia"/>
              <w:lang w:val="en-US" w:eastAsia="zh-CN"/>
            </w:rPr>
            <w:t>5</w:t>
          </w:r>
          <w:r>
            <w:rPr>
              <w:rFonts w:hint="default"/>
              <w:lang w:val="en-US" w:eastAsia="zh-CN"/>
            </w:rPr>
            <w:t>.</w:t>
          </w:r>
          <w:r>
            <w:rPr>
              <w:rFonts w:hint="eastAsia"/>
              <w:lang w:val="en-US" w:eastAsia="zh-CN"/>
            </w:rPr>
            <w:t>4环保设备风险识别</w:t>
          </w:r>
          <w:r>
            <w:tab/>
          </w:r>
          <w:r>
            <w:fldChar w:fldCharType="begin"/>
          </w:r>
          <w:r>
            <w:instrText xml:space="preserve"> PAGEREF _Toc11373 \h </w:instrText>
          </w:r>
          <w:r>
            <w:fldChar w:fldCharType="separate"/>
          </w:r>
          <w:r>
            <w:t>134</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_Toc17349 </w:instrText>
          </w:r>
          <w:r>
            <w:rPr>
              <w:rFonts w:hint="eastAsia"/>
            </w:rPr>
            <w:fldChar w:fldCharType="separate"/>
          </w:r>
          <w:r>
            <w:rPr>
              <w:rFonts w:hint="eastAsia" w:ascii="宋体" w:hAnsi="宋体" w:eastAsia="宋体" w:cs="宋体"/>
              <w:lang w:val="en-US" w:eastAsia="zh-CN"/>
            </w:rPr>
            <w:t>3.6</w:t>
          </w:r>
          <w:r>
            <w:rPr>
              <w:rFonts w:hint="eastAsia" w:ascii="宋体" w:hAnsi="宋体" w:eastAsia="宋体" w:cs="宋体"/>
            </w:rPr>
            <w:t>企业现有的应急措施及物资</w:t>
          </w:r>
          <w:r>
            <w:tab/>
          </w:r>
          <w:r>
            <w:fldChar w:fldCharType="begin"/>
          </w:r>
          <w:r>
            <w:instrText xml:space="preserve"> PAGEREF _Toc17349 \h </w:instrText>
          </w:r>
          <w:r>
            <w:fldChar w:fldCharType="separate"/>
          </w:r>
          <w:r>
            <w:t>135</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_Toc24352 </w:instrText>
          </w:r>
          <w:r>
            <w:rPr>
              <w:rFonts w:hint="eastAsia"/>
            </w:rPr>
            <w:fldChar w:fldCharType="separate"/>
          </w:r>
          <w:r>
            <w:rPr>
              <w:rFonts w:hint="eastAsia"/>
              <w:lang w:val="en-US" w:eastAsia="zh-CN"/>
            </w:rPr>
            <w:t>3.6</w:t>
          </w:r>
          <w:r>
            <w:rPr>
              <w:rFonts w:hint="eastAsia"/>
            </w:rPr>
            <w:t>.1现有环境管理制度情况</w:t>
          </w:r>
          <w:r>
            <w:tab/>
          </w:r>
          <w:r>
            <w:fldChar w:fldCharType="begin"/>
          </w:r>
          <w:r>
            <w:instrText xml:space="preserve"> PAGEREF _Toc24352 \h </w:instrText>
          </w:r>
          <w:r>
            <w:fldChar w:fldCharType="separate"/>
          </w:r>
          <w:r>
            <w:t>135</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_Toc30934 </w:instrText>
          </w:r>
          <w:r>
            <w:rPr>
              <w:rFonts w:hint="eastAsia"/>
            </w:rPr>
            <w:fldChar w:fldCharType="separate"/>
          </w:r>
          <w:r>
            <w:rPr>
              <w:rFonts w:hint="eastAsia"/>
            </w:rPr>
            <w:t>3.</w:t>
          </w:r>
          <w:r>
            <w:rPr>
              <w:rFonts w:hint="eastAsia"/>
              <w:lang w:val="en-US" w:eastAsia="zh-CN"/>
            </w:rPr>
            <w:t>6</w:t>
          </w:r>
          <w:r>
            <w:rPr>
              <w:rFonts w:hint="eastAsia"/>
            </w:rPr>
            <w:t>.2应急设施、物资及装备情况</w:t>
          </w:r>
          <w:r>
            <w:tab/>
          </w:r>
          <w:r>
            <w:fldChar w:fldCharType="begin"/>
          </w:r>
          <w:r>
            <w:instrText xml:space="preserve"> PAGEREF _Toc30934 \h </w:instrText>
          </w:r>
          <w:r>
            <w:fldChar w:fldCharType="separate"/>
          </w:r>
          <w:r>
            <w:t>136</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_Toc30865 </w:instrText>
          </w:r>
          <w:r>
            <w:rPr>
              <w:rFonts w:hint="eastAsia"/>
            </w:rPr>
            <w:fldChar w:fldCharType="separate"/>
          </w:r>
          <w:r>
            <w:rPr>
              <w:rFonts w:hint="eastAsia"/>
              <w:lang w:val="en-US" w:eastAsia="zh-CN"/>
            </w:rPr>
            <w:t xml:space="preserve">3.6.3 </w:t>
          </w:r>
          <w:r>
            <w:rPr>
              <w:rFonts w:hint="default"/>
            </w:rPr>
            <w:t>现有环境风险防</w:t>
          </w:r>
          <w:r>
            <w:rPr>
              <w:rFonts w:hint="eastAsia"/>
            </w:rPr>
            <w:t>范</w:t>
          </w:r>
          <w:r>
            <w:rPr>
              <w:rFonts w:hint="default"/>
            </w:rPr>
            <w:t>与应急措施情况</w:t>
          </w:r>
          <w:r>
            <w:tab/>
          </w:r>
          <w:r>
            <w:fldChar w:fldCharType="begin"/>
          </w:r>
          <w:r>
            <w:instrText xml:space="preserve"> PAGEREF _Toc30865 \h </w:instrText>
          </w:r>
          <w:r>
            <w:fldChar w:fldCharType="separate"/>
          </w:r>
          <w:r>
            <w:t>136</w:t>
          </w:r>
          <w:r>
            <w:fldChar w:fldCharType="end"/>
          </w:r>
          <w:r>
            <w:rPr>
              <w:rFonts w:hint="eastAsia"/>
            </w:rPr>
            <w:fldChar w:fldCharType="end"/>
          </w:r>
        </w:p>
        <w:p>
          <w:pPr>
            <w:pStyle w:val="15"/>
            <w:tabs>
              <w:tab w:val="right" w:leader="dot" w:pos="8250"/>
            </w:tabs>
          </w:pPr>
          <w:r>
            <w:rPr>
              <w:rFonts w:hint="eastAsia"/>
            </w:rPr>
            <w:fldChar w:fldCharType="begin"/>
          </w:r>
          <w:r>
            <w:rPr>
              <w:rFonts w:hint="eastAsia"/>
            </w:rPr>
            <w:instrText xml:space="preserve"> HYPERLINK \l _Toc8760 </w:instrText>
          </w:r>
          <w:r>
            <w:rPr>
              <w:rFonts w:hint="eastAsia"/>
            </w:rPr>
            <w:fldChar w:fldCharType="separate"/>
          </w:r>
          <w:r>
            <w:rPr>
              <w:rFonts w:hint="eastAsia" w:ascii="宋体" w:hAnsi="宋体" w:eastAsia="宋体" w:cs="宋体"/>
              <w:lang w:val="en-US" w:eastAsia="zh-CN"/>
            </w:rPr>
            <w:t>4</w:t>
          </w:r>
          <w:r>
            <w:rPr>
              <w:rFonts w:hint="eastAsia" w:ascii="宋体" w:hAnsi="宋体" w:eastAsia="宋体" w:cs="宋体"/>
            </w:rPr>
            <w:t>组织机构及职责</w:t>
          </w:r>
          <w:r>
            <w:tab/>
          </w:r>
          <w:r>
            <w:fldChar w:fldCharType="begin"/>
          </w:r>
          <w:r>
            <w:instrText xml:space="preserve"> PAGEREF _Toc8760 \h </w:instrText>
          </w:r>
          <w:r>
            <w:fldChar w:fldCharType="separate"/>
          </w:r>
          <w:r>
            <w:t>142</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_Toc15465 </w:instrText>
          </w:r>
          <w:r>
            <w:rPr>
              <w:rFonts w:hint="eastAsia"/>
            </w:rPr>
            <w:fldChar w:fldCharType="separate"/>
          </w:r>
          <w:r>
            <w:rPr>
              <w:rFonts w:hint="eastAsia" w:ascii="宋体" w:hAnsi="宋体" w:eastAsia="宋体" w:cs="宋体"/>
              <w:lang w:val="en-US" w:eastAsia="zh-CN"/>
            </w:rPr>
            <w:t>4</w:t>
          </w:r>
          <w:r>
            <w:rPr>
              <w:rFonts w:hint="eastAsia" w:ascii="宋体" w:hAnsi="宋体" w:eastAsia="宋体" w:cs="宋体"/>
            </w:rPr>
            <w:t>.1组织体系</w:t>
          </w:r>
          <w:r>
            <w:tab/>
          </w:r>
          <w:r>
            <w:fldChar w:fldCharType="begin"/>
          </w:r>
          <w:r>
            <w:instrText xml:space="preserve"> PAGEREF _Toc15465 \h </w:instrText>
          </w:r>
          <w:r>
            <w:fldChar w:fldCharType="separate"/>
          </w:r>
          <w:r>
            <w:t>142</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_Toc13142 </w:instrText>
          </w:r>
          <w:r>
            <w:rPr>
              <w:rFonts w:hint="eastAsia"/>
            </w:rPr>
            <w:fldChar w:fldCharType="separate"/>
          </w:r>
          <w:r>
            <w:rPr>
              <w:rFonts w:hint="eastAsia"/>
              <w:lang w:val="en-US" w:eastAsia="zh-CN"/>
            </w:rPr>
            <w:t>4</w:t>
          </w:r>
          <w:r>
            <w:rPr>
              <w:rFonts w:hint="default"/>
            </w:rPr>
            <w:t>.2人员构成及职责</w:t>
          </w:r>
          <w:r>
            <w:tab/>
          </w:r>
          <w:r>
            <w:fldChar w:fldCharType="begin"/>
          </w:r>
          <w:r>
            <w:instrText xml:space="preserve"> PAGEREF _Toc13142 \h </w:instrText>
          </w:r>
          <w:r>
            <w:fldChar w:fldCharType="separate"/>
          </w:r>
          <w:r>
            <w:t>143</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_Toc7492 </w:instrText>
          </w:r>
          <w:r>
            <w:rPr>
              <w:rFonts w:hint="eastAsia"/>
            </w:rPr>
            <w:fldChar w:fldCharType="separate"/>
          </w:r>
          <w:r>
            <w:rPr>
              <w:rFonts w:hint="eastAsia" w:cs="Times New Roman"/>
              <w:szCs w:val="24"/>
              <w:lang w:val="en-US" w:eastAsia="zh-CN"/>
            </w:rPr>
            <w:t>4</w:t>
          </w:r>
          <w:r>
            <w:rPr>
              <w:rFonts w:hint="default" w:ascii="Times New Roman" w:hAnsi="Times New Roman" w:eastAsia="宋体" w:cs="Times New Roman"/>
              <w:szCs w:val="24"/>
            </w:rPr>
            <w:t>.2.1</w:t>
          </w:r>
          <w:r>
            <w:rPr>
              <w:rFonts w:hint="eastAsia" w:ascii="Times New Roman" w:hAnsi="Times New Roman" w:eastAsia="宋体" w:cs="Times New Roman"/>
              <w:szCs w:val="24"/>
              <w:lang w:val="en-US" w:eastAsia="zh-CN"/>
            </w:rPr>
            <w:t>应急领导小组</w:t>
          </w:r>
          <w:r>
            <w:rPr>
              <w:rFonts w:hint="default" w:ascii="Times New Roman" w:hAnsi="Times New Roman" w:eastAsia="宋体" w:cs="Times New Roman"/>
              <w:szCs w:val="24"/>
            </w:rPr>
            <w:t>职责</w:t>
          </w:r>
          <w:r>
            <w:tab/>
          </w:r>
          <w:r>
            <w:fldChar w:fldCharType="begin"/>
          </w:r>
          <w:r>
            <w:instrText xml:space="preserve"> PAGEREF _Toc7492 \h </w:instrText>
          </w:r>
          <w:r>
            <w:fldChar w:fldCharType="separate"/>
          </w:r>
          <w:r>
            <w:t>143</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_Toc21959 </w:instrText>
          </w:r>
          <w:r>
            <w:rPr>
              <w:rFonts w:hint="eastAsia"/>
            </w:rPr>
            <w:fldChar w:fldCharType="separate"/>
          </w:r>
          <w:r>
            <w:rPr>
              <w:rFonts w:hint="eastAsia" w:cs="Times New Roman"/>
              <w:bCs/>
              <w:szCs w:val="24"/>
              <w:lang w:val="en-US" w:eastAsia="zh-CN"/>
            </w:rPr>
            <w:t>4</w:t>
          </w:r>
          <w:r>
            <w:rPr>
              <w:rFonts w:hint="default" w:ascii="Times New Roman" w:hAnsi="Times New Roman" w:eastAsia="宋体" w:cs="Times New Roman"/>
              <w:bCs/>
              <w:szCs w:val="24"/>
            </w:rPr>
            <w:t>.2.2</w:t>
          </w:r>
          <w:r>
            <w:rPr>
              <w:rFonts w:hint="eastAsia" w:ascii="Times New Roman" w:hAnsi="Times New Roman" w:eastAsia="宋体" w:cs="Times New Roman"/>
              <w:bCs/>
              <w:szCs w:val="24"/>
              <w:lang w:val="en-US" w:eastAsia="zh-CN"/>
            </w:rPr>
            <w:t>应急领导小组组长</w:t>
          </w:r>
          <w:r>
            <w:rPr>
              <w:rFonts w:hint="default" w:ascii="Times New Roman" w:hAnsi="Times New Roman" w:eastAsia="宋体" w:cs="Times New Roman"/>
              <w:bCs/>
              <w:szCs w:val="24"/>
            </w:rPr>
            <w:t>职责</w:t>
          </w:r>
          <w:r>
            <w:tab/>
          </w:r>
          <w:r>
            <w:fldChar w:fldCharType="begin"/>
          </w:r>
          <w:r>
            <w:instrText xml:space="preserve"> PAGEREF _Toc21959 \h </w:instrText>
          </w:r>
          <w:r>
            <w:fldChar w:fldCharType="separate"/>
          </w:r>
          <w:r>
            <w:t>144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_Toc25092 </w:instrText>
          </w:r>
          <w:r>
            <w:rPr>
              <w:rFonts w:hint="eastAsia"/>
            </w:rPr>
            <w:fldChar w:fldCharType="separate"/>
          </w:r>
          <w:r>
            <w:rPr>
              <w:rFonts w:hint="eastAsia" w:cs="Times New Roman"/>
              <w:bCs/>
              <w:szCs w:val="24"/>
              <w:lang w:val="en-US" w:eastAsia="zh-CN"/>
            </w:rPr>
            <w:t>4</w:t>
          </w:r>
          <w:r>
            <w:rPr>
              <w:rFonts w:hint="default" w:ascii="Times New Roman" w:hAnsi="Times New Roman" w:eastAsia="宋体" w:cs="Times New Roman"/>
              <w:bCs/>
              <w:szCs w:val="24"/>
            </w:rPr>
            <w:t>.2.3</w:t>
          </w:r>
          <w:r>
            <w:rPr>
              <w:rFonts w:hint="eastAsia" w:ascii="Times New Roman" w:hAnsi="Times New Roman" w:eastAsia="宋体" w:cs="Times New Roman"/>
              <w:bCs/>
              <w:szCs w:val="24"/>
              <w:lang w:val="en-US" w:eastAsia="zh-CN"/>
            </w:rPr>
            <w:t>应急领导小组副组长</w:t>
          </w:r>
          <w:r>
            <w:rPr>
              <w:rFonts w:hint="default" w:ascii="Times New Roman" w:hAnsi="Times New Roman" w:eastAsia="宋体" w:cs="Times New Roman"/>
              <w:bCs/>
              <w:szCs w:val="24"/>
            </w:rPr>
            <w:t>职责</w:t>
          </w:r>
          <w:r>
            <w:tab/>
          </w:r>
          <w:r>
            <w:fldChar w:fldCharType="begin"/>
          </w:r>
          <w:r>
            <w:instrText xml:space="preserve"> PAGEREF _Toc25092 \h </w:instrText>
          </w:r>
          <w:r>
            <w:fldChar w:fldCharType="separate"/>
          </w:r>
          <w:r>
            <w:t>144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_Toc4593 </w:instrText>
          </w:r>
          <w:r>
            <w:rPr>
              <w:rFonts w:hint="eastAsia"/>
            </w:rPr>
            <w:fldChar w:fldCharType="separate"/>
          </w:r>
          <w:r>
            <w:rPr>
              <w:rFonts w:hint="eastAsia" w:cs="Times New Roman"/>
              <w:szCs w:val="24"/>
              <w:lang w:val="en-US" w:eastAsia="zh-CN"/>
            </w:rPr>
            <w:t>4</w:t>
          </w:r>
          <w:r>
            <w:rPr>
              <w:rFonts w:hint="default" w:ascii="Times New Roman" w:hAnsi="Times New Roman" w:eastAsia="宋体" w:cs="Times New Roman"/>
              <w:szCs w:val="24"/>
            </w:rPr>
            <w:t>.2.4应急指挥办公室人员组成及职责</w:t>
          </w:r>
          <w:r>
            <w:tab/>
          </w:r>
          <w:r>
            <w:fldChar w:fldCharType="begin"/>
          </w:r>
          <w:r>
            <w:instrText xml:space="preserve"> PAGEREF _Toc4593 \h </w:instrText>
          </w:r>
          <w:r>
            <w:fldChar w:fldCharType="separate"/>
          </w:r>
          <w:r>
            <w:t>145</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_Toc25204 </w:instrText>
          </w:r>
          <w:r>
            <w:rPr>
              <w:rFonts w:hint="eastAsia"/>
            </w:rPr>
            <w:fldChar w:fldCharType="separate"/>
          </w:r>
          <w:r>
            <w:rPr>
              <w:rFonts w:hint="eastAsia" w:cs="Times New Roman"/>
              <w:szCs w:val="24"/>
              <w:lang w:val="en-US" w:eastAsia="zh-CN"/>
            </w:rPr>
            <w:t>4</w:t>
          </w:r>
          <w:r>
            <w:rPr>
              <w:rFonts w:hint="default" w:ascii="Times New Roman" w:hAnsi="Times New Roman" w:eastAsia="宋体" w:cs="Times New Roman"/>
              <w:szCs w:val="24"/>
            </w:rPr>
            <w:t>.2.5应急救援小组人员组成及职责</w:t>
          </w:r>
          <w:r>
            <w:tab/>
          </w:r>
          <w:r>
            <w:fldChar w:fldCharType="begin"/>
          </w:r>
          <w:r>
            <w:instrText xml:space="preserve"> PAGEREF _Toc25204 \h </w:instrText>
          </w:r>
          <w:r>
            <w:fldChar w:fldCharType="separate"/>
          </w:r>
          <w:r>
            <w:t>145</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_Toc30073 </w:instrText>
          </w:r>
          <w:r>
            <w:rPr>
              <w:rFonts w:hint="eastAsia"/>
            </w:rPr>
            <w:fldChar w:fldCharType="separate"/>
          </w:r>
          <w:r>
            <w:rPr>
              <w:rFonts w:hint="eastAsia" w:ascii="Times New Roman" w:hAnsi="Times New Roman" w:eastAsia="宋体" w:cs="Times New Roman"/>
              <w:bCs/>
              <w:szCs w:val="24"/>
              <w:lang w:val="en-US" w:eastAsia="zh-CN"/>
            </w:rPr>
            <w:t>4.3</w:t>
          </w:r>
          <w:r>
            <w:rPr>
              <w:rFonts w:hint="eastAsia" w:ascii="Times New Roman" w:hAnsi="Times New Roman" w:eastAsia="宋体" w:cs="Times New Roman"/>
              <w:bCs/>
              <w:szCs w:val="24"/>
            </w:rPr>
            <w:t>应急领导小组主要负责人替补原则</w:t>
          </w:r>
          <w:r>
            <w:tab/>
          </w:r>
          <w:r>
            <w:fldChar w:fldCharType="begin"/>
          </w:r>
          <w:r>
            <w:instrText xml:space="preserve"> PAGEREF _Toc30073 \h </w:instrText>
          </w:r>
          <w:r>
            <w:fldChar w:fldCharType="separate"/>
          </w:r>
          <w:r>
            <w:t>147</w:t>
          </w:r>
          <w:r>
            <w:fldChar w:fldCharType="end"/>
          </w:r>
          <w:r>
            <w:rPr>
              <w:rFonts w:hint="eastAsia"/>
            </w:rPr>
            <w:fldChar w:fldCharType="end"/>
          </w:r>
        </w:p>
        <w:p>
          <w:pPr>
            <w:pStyle w:val="15"/>
            <w:tabs>
              <w:tab w:val="right" w:leader="dot" w:pos="8250"/>
            </w:tabs>
          </w:pPr>
          <w:r>
            <w:rPr>
              <w:rFonts w:hint="eastAsia"/>
            </w:rPr>
            <w:fldChar w:fldCharType="begin"/>
          </w:r>
          <w:r>
            <w:rPr>
              <w:rFonts w:hint="eastAsia"/>
            </w:rPr>
            <w:instrText xml:space="preserve"> HYPERLINK \l _Toc32361 </w:instrText>
          </w:r>
          <w:r>
            <w:rPr>
              <w:rFonts w:hint="eastAsia"/>
            </w:rPr>
            <w:fldChar w:fldCharType="separate"/>
          </w:r>
          <w:r>
            <w:rPr>
              <w:rFonts w:hint="eastAsia" w:ascii="宋体" w:hAnsi="宋体" w:eastAsia="宋体" w:cs="宋体"/>
              <w:lang w:val="en-US" w:eastAsia="zh-CN"/>
            </w:rPr>
            <w:t>5</w:t>
          </w:r>
          <w:r>
            <w:rPr>
              <w:rFonts w:hint="eastAsia" w:ascii="宋体" w:hAnsi="宋体" w:eastAsia="宋体" w:cs="宋体"/>
            </w:rPr>
            <w:t>突发环境事件及后果分析</w:t>
          </w:r>
          <w:r>
            <w:tab/>
          </w:r>
          <w:r>
            <w:fldChar w:fldCharType="begin"/>
          </w:r>
          <w:r>
            <w:instrText xml:space="preserve"> PAGEREF _Toc32361 \h </w:instrText>
          </w:r>
          <w:r>
            <w:fldChar w:fldCharType="separate"/>
          </w:r>
          <w:r>
            <w:t>148</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_Toc28299 </w:instrText>
          </w:r>
          <w:r>
            <w:rPr>
              <w:rFonts w:hint="eastAsia"/>
            </w:rPr>
            <w:fldChar w:fldCharType="separate"/>
          </w:r>
          <w:r>
            <w:rPr>
              <w:rFonts w:hint="eastAsia" w:ascii="宋体" w:hAnsi="宋体" w:eastAsia="宋体" w:cs="宋体"/>
              <w:lang w:val="en-US" w:eastAsia="zh-CN"/>
            </w:rPr>
            <w:t>5</w:t>
          </w:r>
          <w:r>
            <w:rPr>
              <w:rFonts w:hint="eastAsia" w:ascii="宋体" w:hAnsi="宋体" w:eastAsia="宋体" w:cs="宋体"/>
            </w:rPr>
            <w:t>.1突发环境事件情景分析</w:t>
          </w:r>
          <w:r>
            <w:tab/>
          </w:r>
          <w:r>
            <w:fldChar w:fldCharType="begin"/>
          </w:r>
          <w:r>
            <w:instrText xml:space="preserve"> PAGEREF _Toc28299 \h </w:instrText>
          </w:r>
          <w:r>
            <w:fldChar w:fldCharType="separate"/>
          </w:r>
          <w:r>
            <w:t>148</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_Toc19074 </w:instrText>
          </w:r>
          <w:r>
            <w:rPr>
              <w:rFonts w:hint="eastAsia"/>
            </w:rPr>
            <w:fldChar w:fldCharType="separate"/>
          </w:r>
          <w:r>
            <w:rPr>
              <w:rFonts w:hint="eastAsia" w:ascii="宋体" w:hAnsi="宋体" w:eastAsia="宋体" w:cs="宋体"/>
              <w:highlight w:val="none"/>
              <w:lang w:val="en-US" w:eastAsia="zh-CN"/>
            </w:rPr>
            <w:t>5.1.1</w:t>
          </w:r>
          <w:r>
            <w:rPr>
              <w:rFonts w:hint="eastAsia" w:ascii="宋体" w:hAnsi="宋体" w:eastAsia="宋体" w:cs="宋体"/>
              <w:highlight w:val="none"/>
              <w:lang w:eastAsia="zh-CN"/>
            </w:rPr>
            <w:t>典型事故案例</w:t>
          </w:r>
          <w:r>
            <w:tab/>
          </w:r>
          <w:r>
            <w:fldChar w:fldCharType="begin"/>
          </w:r>
          <w:r>
            <w:instrText xml:space="preserve"> PAGEREF _Toc19074 \h </w:instrText>
          </w:r>
          <w:r>
            <w:fldChar w:fldCharType="separate"/>
          </w:r>
          <w:r>
            <w:t>148</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_Toc2554 </w:instrText>
          </w:r>
          <w:r>
            <w:rPr>
              <w:rFonts w:hint="eastAsia"/>
            </w:rPr>
            <w:fldChar w:fldCharType="separate"/>
          </w:r>
          <w:r>
            <w:rPr>
              <w:rFonts w:hint="eastAsia" w:ascii="宋体" w:hAnsi="宋体" w:eastAsia="宋体" w:cs="宋体"/>
              <w:highlight w:val="none"/>
              <w:lang w:val="en-US" w:eastAsia="zh-CN"/>
            </w:rPr>
            <w:t>5.1.2</w:t>
          </w:r>
          <w:r>
            <w:rPr>
              <w:rFonts w:hint="eastAsia" w:ascii="宋体" w:hAnsi="宋体" w:eastAsia="宋体" w:cs="宋体"/>
              <w:highlight w:val="none"/>
              <w:lang w:eastAsia="zh-CN"/>
            </w:rPr>
            <w:t>本企业可能发生突发环境事件情景</w:t>
          </w:r>
          <w:r>
            <w:tab/>
          </w:r>
          <w:r>
            <w:fldChar w:fldCharType="begin"/>
          </w:r>
          <w:r>
            <w:instrText xml:space="preserve"> PAGEREF _Toc2554 \h </w:instrText>
          </w:r>
          <w:r>
            <w:fldChar w:fldCharType="separate"/>
          </w:r>
          <w:r>
            <w:t>151</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_Toc2090 </w:instrText>
          </w:r>
          <w:r>
            <w:rPr>
              <w:rFonts w:hint="eastAsia"/>
            </w:rPr>
            <w:fldChar w:fldCharType="separate"/>
          </w:r>
          <w:r>
            <w:rPr>
              <w:rFonts w:hint="eastAsia" w:ascii="宋体" w:hAnsi="宋体" w:eastAsia="宋体" w:cs="宋体"/>
              <w:highlight w:val="none"/>
              <w:lang w:val="en-US" w:eastAsia="zh-CN"/>
            </w:rPr>
            <w:t>5.2</w:t>
          </w:r>
          <w:r>
            <w:rPr>
              <w:rFonts w:hint="eastAsia" w:ascii="宋体" w:hAnsi="宋体" w:eastAsia="宋体" w:cs="宋体"/>
              <w:highlight w:val="none"/>
              <w:lang w:val="zh-CN" w:eastAsia="zh-CN"/>
            </w:rPr>
            <w:t>突发环境事件情景源强分析（储运工程、公用及环保工程、生产故障等情节）</w:t>
          </w:r>
          <w:r>
            <w:tab/>
          </w:r>
          <w:r>
            <w:fldChar w:fldCharType="begin"/>
          </w:r>
          <w:r>
            <w:instrText xml:space="preserve"> PAGEREF _Toc2090 \h </w:instrText>
          </w:r>
          <w:r>
            <w:fldChar w:fldCharType="separate"/>
          </w:r>
          <w:r>
            <w:t>152</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_Toc29638 </w:instrText>
          </w:r>
          <w:r>
            <w:rPr>
              <w:rFonts w:hint="eastAsia"/>
            </w:rPr>
            <w:fldChar w:fldCharType="separate"/>
          </w:r>
          <w:r>
            <w:rPr>
              <w:rFonts w:hint="eastAsia" w:ascii="宋体" w:hAnsi="宋体" w:eastAsia="宋体" w:cs="宋体"/>
              <w:highlight w:val="none"/>
              <w:lang w:val="en-US" w:eastAsia="zh-CN"/>
            </w:rPr>
            <w:t>5.2.1</w:t>
          </w:r>
          <w:r>
            <w:rPr>
              <w:rFonts w:hint="eastAsia" w:ascii="宋体" w:hAnsi="宋体" w:eastAsia="宋体" w:cs="宋体"/>
              <w:highlight w:val="none"/>
              <w:lang w:eastAsia="zh-CN"/>
            </w:rPr>
            <w:t>生产过程中突发环境事件情景分析</w:t>
          </w:r>
          <w:r>
            <w:tab/>
          </w:r>
          <w:r>
            <w:fldChar w:fldCharType="begin"/>
          </w:r>
          <w:r>
            <w:instrText xml:space="preserve"> PAGEREF _Toc29638 \h </w:instrText>
          </w:r>
          <w:r>
            <w:fldChar w:fldCharType="separate"/>
          </w:r>
          <w:r>
            <w:t>152</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_Toc27288 </w:instrText>
          </w:r>
          <w:r>
            <w:rPr>
              <w:rFonts w:hint="eastAsia"/>
            </w:rPr>
            <w:fldChar w:fldCharType="separate"/>
          </w:r>
          <w:r>
            <w:rPr>
              <w:rFonts w:hint="eastAsia" w:ascii="宋体" w:hAnsi="宋体" w:eastAsia="宋体" w:cs="宋体"/>
              <w:highlight w:val="none"/>
              <w:lang w:val="en-US" w:eastAsia="zh-CN"/>
            </w:rPr>
            <w:t>5.2.2</w:t>
          </w:r>
          <w:r>
            <w:rPr>
              <w:rFonts w:hint="eastAsia" w:ascii="宋体" w:hAnsi="宋体" w:eastAsia="宋体" w:cs="宋体"/>
              <w:highlight w:val="none"/>
              <w:lang w:eastAsia="zh-CN"/>
            </w:rPr>
            <w:t>储运过程中突发环境事件情景分析</w:t>
          </w:r>
          <w:r>
            <w:tab/>
          </w:r>
          <w:r>
            <w:fldChar w:fldCharType="begin"/>
          </w:r>
          <w:r>
            <w:instrText xml:space="preserve"> PAGEREF _Toc27288 \h </w:instrText>
          </w:r>
          <w:r>
            <w:fldChar w:fldCharType="separate"/>
          </w:r>
          <w:r>
            <w:t>153</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_Toc21658 </w:instrText>
          </w:r>
          <w:r>
            <w:rPr>
              <w:rFonts w:hint="eastAsia"/>
            </w:rPr>
            <w:fldChar w:fldCharType="separate"/>
          </w:r>
          <w:r>
            <w:rPr>
              <w:rFonts w:hint="eastAsia" w:ascii="宋体" w:hAnsi="宋体" w:eastAsia="宋体" w:cs="宋体"/>
              <w:highlight w:val="none"/>
              <w:lang w:val="en-US" w:eastAsia="zh-CN"/>
            </w:rPr>
            <w:t>5.2.3</w:t>
          </w:r>
          <w:r>
            <w:rPr>
              <w:rFonts w:hint="eastAsia" w:ascii="宋体" w:hAnsi="宋体" w:eastAsia="宋体" w:cs="宋体"/>
              <w:highlight w:val="none"/>
              <w:lang w:eastAsia="zh-CN"/>
            </w:rPr>
            <w:t>生产装置停车、检修过程突发环境事件情景分析</w:t>
          </w:r>
          <w:r>
            <w:tab/>
          </w:r>
          <w:r>
            <w:fldChar w:fldCharType="begin"/>
          </w:r>
          <w:r>
            <w:instrText xml:space="preserve"> PAGEREF _Toc21658 \h </w:instrText>
          </w:r>
          <w:r>
            <w:fldChar w:fldCharType="separate"/>
          </w:r>
          <w:r>
            <w:t>153</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_Toc30942 </w:instrText>
          </w:r>
          <w:r>
            <w:rPr>
              <w:rFonts w:hint="eastAsia"/>
            </w:rPr>
            <w:fldChar w:fldCharType="separate"/>
          </w:r>
          <w:r>
            <w:rPr>
              <w:rFonts w:hint="eastAsia" w:ascii="宋体" w:hAnsi="宋体" w:eastAsia="宋体" w:cs="宋体"/>
              <w:highlight w:val="none"/>
              <w:lang w:val="en-US" w:eastAsia="zh-CN"/>
            </w:rPr>
            <w:t>5.2.4</w:t>
          </w:r>
          <w:r>
            <w:rPr>
              <w:rFonts w:hint="eastAsia" w:ascii="宋体" w:hAnsi="宋体" w:eastAsia="宋体" w:cs="宋体"/>
              <w:highlight w:val="none"/>
              <w:lang w:eastAsia="zh-CN"/>
            </w:rPr>
            <w:t>公用工程突发环境事件情景分析</w:t>
          </w:r>
          <w:r>
            <w:tab/>
          </w:r>
          <w:r>
            <w:fldChar w:fldCharType="begin"/>
          </w:r>
          <w:r>
            <w:instrText xml:space="preserve"> PAGEREF _Toc30942 \h </w:instrText>
          </w:r>
          <w:r>
            <w:fldChar w:fldCharType="separate"/>
          </w:r>
          <w:r>
            <w:t>154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_Toc15399 </w:instrText>
          </w:r>
          <w:r>
            <w:rPr>
              <w:rFonts w:hint="eastAsia"/>
            </w:rPr>
            <w:fldChar w:fldCharType="separate"/>
          </w:r>
          <w:r>
            <w:rPr>
              <w:rFonts w:hint="eastAsia" w:ascii="宋体" w:hAnsi="宋体" w:eastAsia="宋体" w:cs="宋体"/>
              <w:highlight w:val="none"/>
              <w:lang w:val="en-US" w:eastAsia="zh-CN"/>
            </w:rPr>
            <w:t>5.2.5</w:t>
          </w:r>
          <w:r>
            <w:rPr>
              <w:rFonts w:hint="eastAsia" w:ascii="宋体" w:hAnsi="宋体" w:eastAsia="宋体" w:cs="宋体"/>
              <w:highlight w:val="none"/>
              <w:lang w:eastAsia="zh-CN"/>
            </w:rPr>
            <w:t>其他突发环境事件情景分析</w:t>
          </w:r>
          <w:r>
            <w:tab/>
          </w:r>
          <w:r>
            <w:fldChar w:fldCharType="begin"/>
          </w:r>
          <w:r>
            <w:instrText xml:space="preserve"> PAGEREF _Toc15399 \h </w:instrText>
          </w:r>
          <w:r>
            <w:fldChar w:fldCharType="separate"/>
          </w:r>
          <w:r>
            <w:t>154</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_Toc7485 </w:instrText>
          </w:r>
          <w:r>
            <w:rPr>
              <w:rFonts w:hint="eastAsia"/>
            </w:rPr>
            <w:fldChar w:fldCharType="separate"/>
          </w:r>
          <w:r>
            <w:rPr>
              <w:rFonts w:hint="eastAsia" w:ascii="宋体" w:hAnsi="宋体" w:eastAsia="宋体" w:cs="宋体"/>
              <w:highlight w:val="none"/>
              <w:lang w:val="en-US" w:eastAsia="zh-CN"/>
            </w:rPr>
            <w:t>5.3</w:t>
          </w:r>
          <w:r>
            <w:rPr>
              <w:rFonts w:hint="eastAsia" w:ascii="宋体" w:hAnsi="宋体" w:eastAsia="宋体" w:cs="宋体"/>
              <w:highlight w:val="none"/>
              <w:lang w:val="zh-CN" w:eastAsia="zh-CN"/>
            </w:rPr>
            <w:t>突发环境事件情景源强分析</w:t>
          </w:r>
          <w:r>
            <w:tab/>
          </w:r>
          <w:r>
            <w:fldChar w:fldCharType="begin"/>
          </w:r>
          <w:r>
            <w:instrText xml:space="preserve"> PAGEREF _Toc7485 \h </w:instrText>
          </w:r>
          <w:r>
            <w:fldChar w:fldCharType="separate"/>
          </w:r>
          <w:r>
            <w:t>155</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_Toc1944 </w:instrText>
          </w:r>
          <w:r>
            <w:rPr>
              <w:rFonts w:hint="eastAsia"/>
            </w:rPr>
            <w:fldChar w:fldCharType="separate"/>
          </w:r>
          <w:r>
            <w:rPr>
              <w:rFonts w:hint="eastAsia"/>
              <w:lang w:val="en-US" w:eastAsia="zh-CN"/>
            </w:rPr>
            <w:t>5.3.1</w:t>
          </w:r>
          <w:r>
            <w:rPr>
              <w:rFonts w:hint="default"/>
            </w:rPr>
            <w:t>原油储罐火灾次生风险</w:t>
          </w:r>
          <w:r>
            <w:rPr>
              <w:rFonts w:hint="eastAsia"/>
              <w:lang w:val="en-US" w:eastAsia="zh-CN"/>
            </w:rPr>
            <w:t>源强</w:t>
          </w:r>
          <w:r>
            <w:rPr>
              <w:rFonts w:hint="default"/>
            </w:rPr>
            <w:t>分析</w:t>
          </w:r>
          <w:r>
            <w:tab/>
          </w:r>
          <w:r>
            <w:fldChar w:fldCharType="begin"/>
          </w:r>
          <w:r>
            <w:instrText xml:space="preserve"> PAGEREF _Toc1944 \h </w:instrText>
          </w:r>
          <w:r>
            <w:fldChar w:fldCharType="separate"/>
          </w:r>
          <w:r>
            <w:t>155</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_Toc13406 </w:instrText>
          </w:r>
          <w:r>
            <w:rPr>
              <w:rFonts w:hint="eastAsia"/>
            </w:rPr>
            <w:fldChar w:fldCharType="separate"/>
          </w:r>
          <w:r>
            <w:rPr>
              <w:rFonts w:hint="eastAsia"/>
              <w:lang w:val="en-US" w:eastAsia="zh-CN"/>
            </w:rPr>
            <w:t>5.3.2</w:t>
          </w:r>
          <w:r>
            <w:rPr>
              <w:rFonts w:hint="default"/>
            </w:rPr>
            <w:t>苯罐泄露</w:t>
          </w:r>
          <w:r>
            <w:rPr>
              <w:rFonts w:hint="eastAsia"/>
              <w:lang w:val="en-US" w:eastAsia="zh-CN"/>
            </w:rPr>
            <w:t>源强</w:t>
          </w:r>
          <w:r>
            <w:rPr>
              <w:rFonts w:hint="default"/>
            </w:rPr>
            <w:t>分析</w:t>
          </w:r>
          <w:r>
            <w:tab/>
          </w:r>
          <w:r>
            <w:fldChar w:fldCharType="begin"/>
          </w:r>
          <w:r>
            <w:instrText xml:space="preserve"> PAGEREF _Toc13406 \h </w:instrText>
          </w:r>
          <w:r>
            <w:fldChar w:fldCharType="separate"/>
          </w:r>
          <w:r>
            <w:t>156</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_Toc27765 </w:instrText>
          </w:r>
          <w:r>
            <w:rPr>
              <w:rFonts w:hint="eastAsia"/>
            </w:rPr>
            <w:fldChar w:fldCharType="separate"/>
          </w:r>
          <w:r>
            <w:rPr>
              <w:rFonts w:hint="eastAsia"/>
              <w:lang w:val="en-US" w:eastAsia="zh-CN"/>
            </w:rPr>
            <w:t>5.3.3液氨储罐泄露源强分析</w:t>
          </w:r>
          <w:r>
            <w:tab/>
          </w:r>
          <w:r>
            <w:fldChar w:fldCharType="begin"/>
          </w:r>
          <w:r>
            <w:instrText xml:space="preserve"> PAGEREF _Toc27765 \h </w:instrText>
          </w:r>
          <w:r>
            <w:fldChar w:fldCharType="separate"/>
          </w:r>
          <w:r>
            <w:t>158</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_Toc17191 </w:instrText>
          </w:r>
          <w:r>
            <w:rPr>
              <w:rFonts w:hint="eastAsia"/>
            </w:rPr>
            <w:fldChar w:fldCharType="separate"/>
          </w:r>
          <w:r>
            <w:rPr>
              <w:rFonts w:hint="eastAsia"/>
              <w:lang w:val="en-US" w:eastAsia="zh-CN"/>
            </w:rPr>
            <w:t>5.3.4甲醇储罐泄露事故源强分析</w:t>
          </w:r>
          <w:r>
            <w:tab/>
          </w:r>
          <w:r>
            <w:fldChar w:fldCharType="begin"/>
          </w:r>
          <w:r>
            <w:instrText xml:space="preserve"> PAGEREF _Toc17191 \h </w:instrText>
          </w:r>
          <w:r>
            <w:fldChar w:fldCharType="separate"/>
          </w:r>
          <w:r>
            <w:t>159</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_Toc21409 </w:instrText>
          </w:r>
          <w:r>
            <w:rPr>
              <w:rFonts w:hint="eastAsia"/>
            </w:rPr>
            <w:fldChar w:fldCharType="separate"/>
          </w:r>
          <w:r>
            <w:rPr>
              <w:rFonts w:hint="eastAsia"/>
              <w:lang w:val="en-US" w:eastAsia="zh-CN"/>
            </w:rPr>
            <w:t>5.3.5硫磺回收装置酸性气体泄露源强分析</w:t>
          </w:r>
          <w:r>
            <w:tab/>
          </w:r>
          <w:r>
            <w:fldChar w:fldCharType="begin"/>
          </w:r>
          <w:r>
            <w:instrText xml:space="preserve"> PAGEREF _Toc21409 \h </w:instrText>
          </w:r>
          <w:r>
            <w:fldChar w:fldCharType="separate"/>
          </w:r>
          <w:r>
            <w:t>160</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_Toc28725 </w:instrText>
          </w:r>
          <w:r>
            <w:rPr>
              <w:rFonts w:hint="eastAsia"/>
            </w:rPr>
            <w:fldChar w:fldCharType="separate"/>
          </w:r>
          <w:r>
            <w:rPr>
              <w:rFonts w:hint="eastAsia"/>
              <w:lang w:val="en-US" w:eastAsia="zh-CN"/>
            </w:rPr>
            <w:t>5.3</w:t>
          </w:r>
          <w:r>
            <w:rPr>
              <w:rFonts w:hint="default"/>
              <w:lang w:val="en-US" w:eastAsia="zh-CN"/>
            </w:rPr>
            <w:t>.6污水处理站运行不正常源强分析</w:t>
          </w:r>
          <w:r>
            <w:tab/>
          </w:r>
          <w:r>
            <w:fldChar w:fldCharType="begin"/>
          </w:r>
          <w:r>
            <w:instrText xml:space="preserve"> PAGEREF _Toc28725 \h </w:instrText>
          </w:r>
          <w:r>
            <w:fldChar w:fldCharType="separate"/>
          </w:r>
          <w:r>
            <w:t>161</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_Toc19810 </w:instrText>
          </w:r>
          <w:r>
            <w:rPr>
              <w:rFonts w:hint="eastAsia"/>
            </w:rPr>
            <w:fldChar w:fldCharType="separate"/>
          </w:r>
          <w:r>
            <w:rPr>
              <w:rFonts w:hint="eastAsia"/>
              <w:lang w:val="en-US" w:eastAsia="zh-CN"/>
            </w:rPr>
            <w:t>5.3.7危险废物</w:t>
          </w:r>
          <w:r>
            <w:rPr>
              <w:rFonts w:hint="default"/>
              <w:lang w:val="en-US" w:eastAsia="zh-CN"/>
            </w:rPr>
            <w:t>事故源强</w:t>
          </w:r>
          <w:r>
            <w:tab/>
          </w:r>
          <w:r>
            <w:fldChar w:fldCharType="begin"/>
          </w:r>
          <w:r>
            <w:instrText xml:space="preserve"> PAGEREF _Toc19810 \h </w:instrText>
          </w:r>
          <w:r>
            <w:fldChar w:fldCharType="separate"/>
          </w:r>
          <w:r>
            <w:t>162</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_Toc1616 </w:instrText>
          </w:r>
          <w:r>
            <w:rPr>
              <w:rFonts w:hint="eastAsia"/>
            </w:rPr>
            <w:fldChar w:fldCharType="separate"/>
          </w:r>
          <w:r>
            <w:rPr>
              <w:rFonts w:hint="eastAsia" w:ascii="宋体" w:hAnsi="宋体" w:eastAsia="宋体" w:cs="宋体"/>
              <w:highlight w:val="none"/>
              <w:lang w:val="en-US" w:eastAsia="zh-CN"/>
            </w:rPr>
            <w:t>5.3.</w:t>
          </w:r>
          <w:r>
            <w:rPr>
              <w:rFonts w:hint="eastAsia" w:ascii="宋体" w:hAnsi="宋体" w:cs="宋体"/>
              <w:highlight w:val="none"/>
              <w:lang w:val="en-US" w:eastAsia="zh-CN"/>
            </w:rPr>
            <w:t>8</w:t>
          </w:r>
          <w:r>
            <w:rPr>
              <w:rFonts w:hint="eastAsia" w:ascii="宋体" w:hAnsi="宋体" w:eastAsia="宋体" w:cs="宋体"/>
              <w:highlight w:val="none"/>
              <w:lang w:eastAsia="zh-CN"/>
            </w:rPr>
            <w:t>毒性气体泄漏事故后果分析</w:t>
          </w:r>
          <w:r>
            <w:tab/>
          </w:r>
          <w:r>
            <w:fldChar w:fldCharType="begin"/>
          </w:r>
          <w:r>
            <w:instrText xml:space="preserve"> PAGEREF _Toc1616 \h </w:instrText>
          </w:r>
          <w:r>
            <w:fldChar w:fldCharType="separate"/>
          </w:r>
          <w:r>
            <w:t>162</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_Toc28308 </w:instrText>
          </w:r>
          <w:r>
            <w:rPr>
              <w:rFonts w:hint="eastAsia"/>
            </w:rPr>
            <w:fldChar w:fldCharType="separate"/>
          </w:r>
          <w:r>
            <w:rPr>
              <w:rFonts w:hint="eastAsia" w:ascii="宋体" w:hAnsi="宋体" w:eastAsia="宋体" w:cs="宋体"/>
              <w:lang w:val="en-US" w:eastAsia="zh-CN"/>
            </w:rPr>
            <w:t>5.4释放环境风险物质的扩散途径、涉及环境风险防控与应急措施、应急资源情况分析</w:t>
          </w:r>
          <w:r>
            <w:tab/>
          </w:r>
          <w:r>
            <w:fldChar w:fldCharType="begin"/>
          </w:r>
          <w:r>
            <w:instrText xml:space="preserve"> PAGEREF _Toc28308 \h </w:instrText>
          </w:r>
          <w:r>
            <w:fldChar w:fldCharType="separate"/>
          </w:r>
          <w:r>
            <w:t>164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_Toc12113 </w:instrText>
          </w:r>
          <w:r>
            <w:rPr>
              <w:rFonts w:hint="eastAsia"/>
            </w:rPr>
            <w:fldChar w:fldCharType="separate"/>
          </w:r>
          <w:r>
            <w:rPr>
              <w:rFonts w:hint="eastAsia" w:ascii="宋体" w:hAnsi="宋体" w:eastAsia="宋体" w:cs="宋体"/>
              <w:lang w:val="en-US" w:eastAsia="zh-CN"/>
            </w:rPr>
            <w:t>5.</w:t>
          </w:r>
          <w:r>
            <w:rPr>
              <w:rFonts w:hint="eastAsia" w:ascii="宋体" w:hAnsi="宋体" w:cs="宋体"/>
              <w:lang w:val="en-US" w:eastAsia="zh-CN"/>
            </w:rPr>
            <w:t>4</w:t>
          </w:r>
          <w:r>
            <w:rPr>
              <w:rFonts w:hint="eastAsia" w:ascii="宋体" w:hAnsi="宋体" w:eastAsia="宋体" w:cs="宋体"/>
              <w:lang w:val="en-US" w:eastAsia="zh-CN"/>
            </w:rPr>
            <w:t>.1风险事故大气环境影响分析</w:t>
          </w:r>
          <w:r>
            <w:tab/>
          </w:r>
          <w:r>
            <w:fldChar w:fldCharType="begin"/>
          </w:r>
          <w:r>
            <w:instrText xml:space="preserve"> PAGEREF _Toc12113 \h </w:instrText>
          </w:r>
          <w:r>
            <w:fldChar w:fldCharType="separate"/>
          </w:r>
          <w:r>
            <w:t>164</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_Toc10350 </w:instrText>
          </w:r>
          <w:r>
            <w:rPr>
              <w:rFonts w:hint="eastAsia"/>
            </w:rPr>
            <w:fldChar w:fldCharType="separate"/>
          </w:r>
          <w:r>
            <w:rPr>
              <w:rFonts w:hint="eastAsia" w:ascii="宋体" w:hAnsi="宋体" w:eastAsia="宋体" w:cs="宋体"/>
              <w:highlight w:val="none"/>
              <w:lang w:val="en-US" w:eastAsia="zh-CN"/>
            </w:rPr>
            <w:t>5.</w:t>
          </w:r>
          <w:r>
            <w:rPr>
              <w:rFonts w:hint="eastAsia" w:ascii="宋体" w:hAnsi="宋体" w:cs="宋体"/>
              <w:highlight w:val="none"/>
              <w:lang w:val="en-US" w:eastAsia="zh-CN"/>
            </w:rPr>
            <w:t>4</w:t>
          </w:r>
          <w:r>
            <w:rPr>
              <w:rFonts w:hint="eastAsia" w:ascii="宋体" w:hAnsi="宋体" w:eastAsia="宋体" w:cs="宋体"/>
              <w:highlight w:val="none"/>
              <w:lang w:val="en-US" w:eastAsia="zh-CN"/>
            </w:rPr>
            <w:t>.2风险事故水环境影响分析</w:t>
          </w:r>
          <w:r>
            <w:tab/>
          </w:r>
          <w:r>
            <w:fldChar w:fldCharType="begin"/>
          </w:r>
          <w:r>
            <w:instrText xml:space="preserve"> PAGEREF _Toc10350 \h </w:instrText>
          </w:r>
          <w:r>
            <w:fldChar w:fldCharType="separate"/>
          </w:r>
          <w:r>
            <w:t>165</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_Toc21324 </w:instrText>
          </w:r>
          <w:r>
            <w:rPr>
              <w:rFonts w:hint="eastAsia"/>
            </w:rPr>
            <w:fldChar w:fldCharType="separate"/>
          </w:r>
          <w:r>
            <w:rPr>
              <w:rFonts w:hint="eastAsia" w:ascii="宋体" w:hAnsi="宋体" w:eastAsia="宋体" w:cs="宋体"/>
              <w:lang w:val="en-US" w:eastAsia="zh-CN"/>
            </w:rPr>
            <w:t>5.5突发环境事件危害后果分析</w:t>
          </w:r>
          <w:r>
            <w:tab/>
          </w:r>
          <w:r>
            <w:fldChar w:fldCharType="begin"/>
          </w:r>
          <w:r>
            <w:instrText xml:space="preserve"> PAGEREF _Toc21324 \h </w:instrText>
          </w:r>
          <w:r>
            <w:fldChar w:fldCharType="separate"/>
          </w:r>
          <w:r>
            <w:t>167</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_Toc30600 </w:instrText>
          </w:r>
          <w:r>
            <w:rPr>
              <w:rFonts w:hint="eastAsia"/>
            </w:rPr>
            <w:fldChar w:fldCharType="separate"/>
          </w:r>
          <w:r>
            <w:rPr>
              <w:rFonts w:hint="eastAsia"/>
              <w:lang w:val="en-US" w:eastAsia="zh-CN"/>
            </w:rPr>
            <w:t>5.5.1原油储罐着火次生SO</w:t>
          </w:r>
          <w:r>
            <w:rPr>
              <w:rFonts w:hint="eastAsia"/>
              <w:vertAlign w:val="subscript"/>
              <w:lang w:val="en-US" w:eastAsia="zh-CN"/>
            </w:rPr>
            <w:t>2</w:t>
          </w:r>
          <w:r>
            <w:rPr>
              <w:rFonts w:hint="eastAsia"/>
              <w:lang w:val="en-US" w:eastAsia="zh-CN"/>
            </w:rPr>
            <w:t>、CO影响预测及后果分析</w:t>
          </w:r>
          <w:r>
            <w:tab/>
          </w:r>
          <w:r>
            <w:fldChar w:fldCharType="begin"/>
          </w:r>
          <w:r>
            <w:instrText xml:space="preserve"> PAGEREF _Toc30600 \h </w:instrText>
          </w:r>
          <w:r>
            <w:fldChar w:fldCharType="separate"/>
          </w:r>
          <w:r>
            <w:t>167</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_Toc9727 </w:instrText>
          </w:r>
          <w:r>
            <w:rPr>
              <w:rFonts w:hint="eastAsia"/>
            </w:rPr>
            <w:fldChar w:fldCharType="separate"/>
          </w:r>
          <w:r>
            <w:rPr>
              <w:rFonts w:hint="eastAsia"/>
              <w:lang w:val="en-US" w:eastAsia="zh-CN"/>
            </w:rPr>
            <w:t>5.5.2苯罐泄漏影响预测及后果分析</w:t>
          </w:r>
          <w:r>
            <w:tab/>
          </w:r>
          <w:r>
            <w:fldChar w:fldCharType="begin"/>
          </w:r>
          <w:r>
            <w:instrText xml:space="preserve"> PAGEREF _Toc9727 \h </w:instrText>
          </w:r>
          <w:r>
            <w:fldChar w:fldCharType="separate"/>
          </w:r>
          <w:r>
            <w:t>172</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_Toc31961 </w:instrText>
          </w:r>
          <w:r>
            <w:rPr>
              <w:rFonts w:hint="eastAsia"/>
            </w:rPr>
            <w:fldChar w:fldCharType="separate"/>
          </w:r>
          <w:r>
            <w:rPr>
              <w:rFonts w:hint="eastAsia"/>
              <w:lang w:val="en-US" w:eastAsia="zh-CN"/>
            </w:rPr>
            <w:t>5.5.3液氨泄漏影响预测及后果分析</w:t>
          </w:r>
          <w:r>
            <w:tab/>
          </w:r>
          <w:r>
            <w:fldChar w:fldCharType="begin"/>
          </w:r>
          <w:r>
            <w:instrText xml:space="preserve"> PAGEREF _Toc31961 \h </w:instrText>
          </w:r>
          <w:r>
            <w:fldChar w:fldCharType="separate"/>
          </w:r>
          <w:r>
            <w:t>175</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_Toc23568 </w:instrText>
          </w:r>
          <w:r>
            <w:rPr>
              <w:rFonts w:hint="eastAsia"/>
            </w:rPr>
            <w:fldChar w:fldCharType="separate"/>
          </w:r>
          <w:r>
            <w:rPr>
              <w:rFonts w:hint="eastAsia"/>
              <w:lang w:val="en-US" w:eastAsia="zh-CN"/>
            </w:rPr>
            <w:t>5.5.4甲醇泄漏影响预测及后果分析</w:t>
          </w:r>
          <w:r>
            <w:tab/>
          </w:r>
          <w:r>
            <w:fldChar w:fldCharType="begin"/>
          </w:r>
          <w:r>
            <w:instrText xml:space="preserve"> PAGEREF _Toc23568 \h </w:instrText>
          </w:r>
          <w:r>
            <w:fldChar w:fldCharType="separate"/>
          </w:r>
          <w:r>
            <w:t>178</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_Toc6678 </w:instrText>
          </w:r>
          <w:r>
            <w:rPr>
              <w:rFonts w:hint="eastAsia"/>
            </w:rPr>
            <w:fldChar w:fldCharType="separate"/>
          </w:r>
          <w:r>
            <w:rPr>
              <w:rFonts w:hint="eastAsia"/>
              <w:lang w:val="en-US" w:eastAsia="zh-CN"/>
            </w:rPr>
            <w:t>5.5.5硫磺回收装置故障预测及后果分析</w:t>
          </w:r>
          <w:r>
            <w:tab/>
          </w:r>
          <w:r>
            <w:fldChar w:fldCharType="begin"/>
          </w:r>
          <w:r>
            <w:instrText xml:space="preserve"> PAGEREF _Toc6678 \h </w:instrText>
          </w:r>
          <w:r>
            <w:fldChar w:fldCharType="separate"/>
          </w:r>
          <w:r>
            <w:t>181</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_Toc23285 </w:instrText>
          </w:r>
          <w:r>
            <w:rPr>
              <w:rFonts w:hint="eastAsia"/>
            </w:rPr>
            <w:fldChar w:fldCharType="separate"/>
          </w:r>
          <w:r>
            <w:rPr>
              <w:rFonts w:hint="eastAsia"/>
              <w:lang w:val="en-US" w:eastAsia="zh-CN"/>
            </w:rPr>
            <w:t>5</w:t>
          </w:r>
          <w:r>
            <w:rPr>
              <w:rFonts w:hint="default"/>
              <w:lang w:val="en-US" w:eastAsia="zh-CN"/>
            </w:rPr>
            <w:t>.</w:t>
          </w:r>
          <w:r>
            <w:rPr>
              <w:rFonts w:hint="eastAsia"/>
              <w:lang w:val="en-US" w:eastAsia="zh-CN"/>
            </w:rPr>
            <w:t>5</w:t>
          </w:r>
          <w:r>
            <w:rPr>
              <w:rFonts w:hint="default"/>
              <w:lang w:val="en-US" w:eastAsia="zh-CN"/>
            </w:rPr>
            <w:t>.6污水处理站运行</w:t>
          </w:r>
          <w:r>
            <w:rPr>
              <w:rFonts w:hint="eastAsia"/>
              <w:lang w:val="en-US" w:eastAsia="zh-CN"/>
            </w:rPr>
            <w:t>后果</w:t>
          </w:r>
          <w:r>
            <w:rPr>
              <w:rFonts w:hint="default"/>
              <w:lang w:val="en-US" w:eastAsia="zh-CN"/>
            </w:rPr>
            <w:t>分析</w:t>
          </w:r>
          <w:r>
            <w:tab/>
          </w:r>
          <w:r>
            <w:fldChar w:fldCharType="begin"/>
          </w:r>
          <w:r>
            <w:instrText xml:space="preserve"> PAGEREF _Toc23285 \h </w:instrText>
          </w:r>
          <w:r>
            <w:fldChar w:fldCharType="separate"/>
          </w:r>
          <w:r>
            <w:t>185</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_Toc15800 </w:instrText>
          </w:r>
          <w:r>
            <w:rPr>
              <w:rFonts w:hint="eastAsia"/>
            </w:rPr>
            <w:fldChar w:fldCharType="separate"/>
          </w:r>
          <w:r>
            <w:rPr>
              <w:rFonts w:hint="eastAsia"/>
              <w:lang w:val="en-US" w:eastAsia="zh-CN"/>
            </w:rPr>
            <w:t>5</w:t>
          </w:r>
          <w:r>
            <w:rPr>
              <w:rFonts w:hint="default"/>
              <w:lang w:val="en-US" w:eastAsia="zh-CN"/>
            </w:rPr>
            <w:t>.</w:t>
          </w:r>
          <w:r>
            <w:rPr>
              <w:rFonts w:hint="eastAsia"/>
              <w:lang w:val="en-US" w:eastAsia="zh-CN"/>
            </w:rPr>
            <w:t>5</w:t>
          </w:r>
          <w:r>
            <w:rPr>
              <w:rFonts w:hint="default"/>
              <w:lang w:val="en-US" w:eastAsia="zh-CN"/>
            </w:rPr>
            <w:t>.</w:t>
          </w:r>
          <w:r>
            <w:rPr>
              <w:rFonts w:hint="eastAsia"/>
              <w:lang w:val="en-US" w:eastAsia="zh-CN"/>
            </w:rPr>
            <w:t>7危险废物</w:t>
          </w:r>
          <w:r>
            <w:rPr>
              <w:rFonts w:hint="default"/>
              <w:lang w:val="en-US" w:eastAsia="zh-CN"/>
            </w:rPr>
            <w:t>事故</w:t>
          </w:r>
          <w:r>
            <w:rPr>
              <w:rFonts w:hint="eastAsia"/>
              <w:lang w:val="en-US" w:eastAsia="zh-CN"/>
            </w:rPr>
            <w:t>后果分析</w:t>
          </w:r>
          <w:r>
            <w:tab/>
          </w:r>
          <w:r>
            <w:fldChar w:fldCharType="begin"/>
          </w:r>
          <w:r>
            <w:instrText xml:space="preserve"> PAGEREF _Toc15800 \h </w:instrText>
          </w:r>
          <w:r>
            <w:fldChar w:fldCharType="separate"/>
          </w:r>
          <w:r>
            <w:t>186</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_Toc8894 </w:instrText>
          </w:r>
          <w:r>
            <w:rPr>
              <w:rFonts w:hint="eastAsia"/>
            </w:rPr>
            <w:fldChar w:fldCharType="separate"/>
          </w:r>
          <w:r>
            <w:rPr>
              <w:rFonts w:hint="eastAsia"/>
              <w:lang w:val="en-US" w:eastAsia="zh-CN"/>
            </w:rPr>
            <w:t>5.5.8风险事故环境风险分析</w:t>
          </w:r>
          <w:r>
            <w:tab/>
          </w:r>
          <w:r>
            <w:fldChar w:fldCharType="begin"/>
          </w:r>
          <w:r>
            <w:instrText xml:space="preserve"> PAGEREF _Toc8894 \h </w:instrText>
          </w:r>
          <w:r>
            <w:fldChar w:fldCharType="separate"/>
          </w:r>
          <w:r>
            <w:t>186</w:t>
          </w:r>
          <w:r>
            <w:fldChar w:fldCharType="end"/>
          </w:r>
          <w:r>
            <w:rPr>
              <w:rFonts w:hint="eastAsia"/>
            </w:rPr>
            <w:fldChar w:fldCharType="end"/>
          </w:r>
        </w:p>
        <w:p>
          <w:pPr>
            <w:pStyle w:val="15"/>
            <w:tabs>
              <w:tab w:val="right" w:leader="dot" w:pos="8250"/>
            </w:tabs>
          </w:pPr>
          <w:r>
            <w:rPr>
              <w:rFonts w:hint="eastAsia"/>
            </w:rPr>
            <w:fldChar w:fldCharType="begin"/>
          </w:r>
          <w:r>
            <w:rPr>
              <w:rFonts w:hint="eastAsia"/>
            </w:rPr>
            <w:instrText xml:space="preserve"> HYPERLINK \l _Toc4977 </w:instrText>
          </w:r>
          <w:r>
            <w:rPr>
              <w:rFonts w:hint="eastAsia"/>
            </w:rPr>
            <w:fldChar w:fldCharType="separate"/>
          </w:r>
          <w:r>
            <w:rPr>
              <w:rFonts w:hint="eastAsia" w:ascii="宋体" w:hAnsi="宋体" w:eastAsia="宋体" w:cs="宋体"/>
              <w:lang w:val="en-US" w:eastAsia="zh-CN"/>
            </w:rPr>
            <w:t>6</w:t>
          </w:r>
          <w:r>
            <w:rPr>
              <w:rFonts w:hint="eastAsia" w:ascii="宋体" w:hAnsi="宋体" w:eastAsia="宋体" w:cs="宋体"/>
            </w:rPr>
            <w:t>现有环境风险防控和应急措施差距分析</w:t>
          </w:r>
          <w:r>
            <w:tab/>
          </w:r>
          <w:r>
            <w:fldChar w:fldCharType="begin"/>
          </w:r>
          <w:r>
            <w:instrText xml:space="preserve"> PAGEREF _Toc4977 \h </w:instrText>
          </w:r>
          <w:r>
            <w:fldChar w:fldCharType="separate"/>
          </w:r>
          <w:r>
            <w:t>189</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_Toc19189 </w:instrText>
          </w:r>
          <w:r>
            <w:rPr>
              <w:rFonts w:hint="eastAsia"/>
            </w:rPr>
            <w:fldChar w:fldCharType="separate"/>
          </w:r>
          <w:r>
            <w:rPr>
              <w:rFonts w:hint="eastAsia" w:ascii="宋体" w:hAnsi="宋体" w:eastAsia="宋体" w:cs="宋体"/>
              <w:lang w:val="en-US" w:eastAsia="zh-CN"/>
            </w:rPr>
            <w:t>6</w:t>
          </w:r>
          <w:r>
            <w:rPr>
              <w:rFonts w:hint="eastAsia" w:ascii="宋体" w:hAnsi="宋体" w:eastAsia="宋体" w:cs="宋体"/>
            </w:rPr>
            <w:t>.1环境风险管理制度</w:t>
          </w:r>
          <w:r>
            <w:tab/>
          </w:r>
          <w:r>
            <w:fldChar w:fldCharType="begin"/>
          </w:r>
          <w:r>
            <w:instrText xml:space="preserve"> PAGEREF _Toc19189 \h </w:instrText>
          </w:r>
          <w:r>
            <w:fldChar w:fldCharType="separate"/>
          </w:r>
          <w:r>
            <w:t>189</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_Toc3259 </w:instrText>
          </w:r>
          <w:r>
            <w:rPr>
              <w:rFonts w:hint="eastAsia"/>
            </w:rPr>
            <w:fldChar w:fldCharType="separate"/>
          </w:r>
          <w:r>
            <w:rPr>
              <w:rFonts w:hint="eastAsia"/>
              <w:lang w:val="en-US" w:eastAsia="zh-CN"/>
            </w:rPr>
            <w:t>6</w:t>
          </w:r>
          <w:r>
            <w:rPr>
              <w:rFonts w:hint="default"/>
            </w:rPr>
            <w:t>.</w:t>
          </w:r>
          <w:r>
            <w:rPr>
              <w:rFonts w:hint="eastAsia"/>
            </w:rPr>
            <w:t>2环境风险防控与应急措施</w:t>
          </w:r>
          <w:r>
            <w:tab/>
          </w:r>
          <w:r>
            <w:fldChar w:fldCharType="begin"/>
          </w:r>
          <w:r>
            <w:instrText xml:space="preserve"> PAGEREF _Toc3259 \h </w:instrText>
          </w:r>
          <w:r>
            <w:fldChar w:fldCharType="separate"/>
          </w:r>
          <w:r>
            <w:t>189</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_Toc16101 </w:instrText>
          </w:r>
          <w:r>
            <w:rPr>
              <w:rFonts w:hint="eastAsia"/>
            </w:rPr>
            <w:fldChar w:fldCharType="separate"/>
          </w:r>
          <w:r>
            <w:rPr>
              <w:rFonts w:hint="eastAsia"/>
              <w:lang w:val="en-US" w:eastAsia="zh-CN"/>
            </w:rPr>
            <w:t>6</w:t>
          </w:r>
          <w:r>
            <w:rPr>
              <w:rFonts w:hint="eastAsia"/>
            </w:rPr>
            <w:t>.</w:t>
          </w:r>
          <w:r>
            <w:rPr>
              <w:rFonts w:hint="eastAsia"/>
              <w:lang w:val="en-US" w:eastAsia="zh-CN"/>
            </w:rPr>
            <w:t>3</w:t>
          </w:r>
          <w:r>
            <w:rPr>
              <w:rFonts w:hint="eastAsia"/>
            </w:rPr>
            <w:t>环境应急资源</w:t>
          </w:r>
          <w:r>
            <w:tab/>
          </w:r>
          <w:r>
            <w:fldChar w:fldCharType="begin"/>
          </w:r>
          <w:r>
            <w:instrText xml:space="preserve"> PAGEREF _Toc16101 \h </w:instrText>
          </w:r>
          <w:r>
            <w:fldChar w:fldCharType="separate"/>
          </w:r>
          <w:r>
            <w:t>190</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_Toc28835 </w:instrText>
          </w:r>
          <w:r>
            <w:rPr>
              <w:rFonts w:hint="eastAsia"/>
            </w:rPr>
            <w:fldChar w:fldCharType="separate"/>
          </w:r>
          <w:r>
            <w:rPr>
              <w:rFonts w:hint="eastAsia" w:ascii="Times New Roman" w:hAnsi="Times New Roman" w:cs="Times New Roman"/>
              <w:highlight w:val="none"/>
              <w:lang w:val="en-US" w:eastAsia="zh-CN"/>
            </w:rPr>
            <w:t>6.4</w:t>
          </w:r>
          <w:r>
            <w:rPr>
              <w:rFonts w:hint="eastAsia" w:ascii="Times New Roman" w:hAnsi="Times New Roman" w:cs="Times New Roman"/>
              <w:highlight w:val="none"/>
              <w:lang w:val="zh-CN" w:eastAsia="zh-CN"/>
            </w:rPr>
            <w:t>差距性分析</w:t>
          </w:r>
          <w:r>
            <w:tab/>
          </w:r>
          <w:r>
            <w:fldChar w:fldCharType="begin"/>
          </w:r>
          <w:r>
            <w:instrText xml:space="preserve"> PAGEREF _Toc28835 \h </w:instrText>
          </w:r>
          <w:r>
            <w:fldChar w:fldCharType="separate"/>
          </w:r>
          <w:r>
            <w:t>191</w:t>
          </w:r>
          <w:r>
            <w:fldChar w:fldCharType="end"/>
          </w:r>
          <w:r>
            <w:rPr>
              <w:rFonts w:hint="eastAsia"/>
            </w:rPr>
            <w:fldChar w:fldCharType="end"/>
          </w:r>
        </w:p>
        <w:p>
          <w:pPr>
            <w:pStyle w:val="15"/>
            <w:tabs>
              <w:tab w:val="right" w:leader="dot" w:pos="8250"/>
            </w:tabs>
          </w:pPr>
          <w:r>
            <w:rPr>
              <w:rFonts w:hint="eastAsia"/>
            </w:rPr>
            <w:fldChar w:fldCharType="begin"/>
          </w:r>
          <w:r>
            <w:rPr>
              <w:rFonts w:hint="eastAsia"/>
            </w:rPr>
            <w:instrText xml:space="preserve"> HYPERLINK \l _Toc13988 </w:instrText>
          </w:r>
          <w:r>
            <w:rPr>
              <w:rFonts w:hint="eastAsia"/>
            </w:rPr>
            <w:fldChar w:fldCharType="separate"/>
          </w:r>
          <w:r>
            <w:rPr>
              <w:rFonts w:hint="eastAsia"/>
              <w:lang w:val="en-US" w:eastAsia="zh-CN"/>
            </w:rPr>
            <w:t>7</w:t>
          </w:r>
          <w:r>
            <w:t>完善环境风险防控和应急措施的实施计划</w:t>
          </w:r>
          <w:r>
            <w:tab/>
          </w:r>
          <w:r>
            <w:fldChar w:fldCharType="begin"/>
          </w:r>
          <w:r>
            <w:instrText xml:space="preserve"> PAGEREF _Toc13988 \h </w:instrText>
          </w:r>
          <w:r>
            <w:fldChar w:fldCharType="separate"/>
          </w:r>
          <w:r>
            <w:t>192</w:t>
          </w:r>
          <w:r>
            <w:fldChar w:fldCharType="end"/>
          </w:r>
          <w:r>
            <w:rPr>
              <w:rFonts w:hint="eastAsia"/>
            </w:rPr>
            <w:fldChar w:fldCharType="end"/>
          </w:r>
        </w:p>
        <w:p>
          <w:pPr>
            <w:pStyle w:val="15"/>
            <w:tabs>
              <w:tab w:val="right" w:leader="dot" w:pos="8250"/>
            </w:tabs>
          </w:pPr>
          <w:r>
            <w:rPr>
              <w:rFonts w:hint="eastAsia"/>
            </w:rPr>
            <w:fldChar w:fldCharType="begin"/>
          </w:r>
          <w:r>
            <w:rPr>
              <w:rFonts w:hint="eastAsia"/>
            </w:rPr>
            <w:instrText xml:space="preserve"> HYPERLINK \l _Toc30496 </w:instrText>
          </w:r>
          <w:r>
            <w:rPr>
              <w:rFonts w:hint="eastAsia"/>
            </w:rPr>
            <w:fldChar w:fldCharType="separate"/>
          </w:r>
          <w:r>
            <w:rPr>
              <w:rFonts w:hint="eastAsia"/>
              <w:lang w:val="en-US" w:eastAsia="zh-CN"/>
            </w:rPr>
            <w:t>8</w:t>
          </w:r>
          <w:r>
            <w:rPr>
              <w:rFonts w:hint="default"/>
              <w:lang w:val="en-US" w:eastAsia="zh-CN"/>
            </w:rPr>
            <w:t>企业突发环境事件等级确定</w:t>
          </w:r>
          <w:r>
            <w:tab/>
          </w:r>
          <w:r>
            <w:fldChar w:fldCharType="begin"/>
          </w:r>
          <w:r>
            <w:instrText xml:space="preserve"> PAGEREF _Toc30496 \h </w:instrText>
          </w:r>
          <w:r>
            <w:fldChar w:fldCharType="separate"/>
          </w:r>
          <w:r>
            <w:t>193</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_Toc20899 </w:instrText>
          </w:r>
          <w:r>
            <w:rPr>
              <w:rFonts w:hint="eastAsia"/>
            </w:rPr>
            <w:fldChar w:fldCharType="separate"/>
          </w:r>
          <w:r>
            <w:rPr>
              <w:rFonts w:hint="eastAsia"/>
              <w:lang w:val="en-US" w:eastAsia="zh-CN"/>
            </w:rPr>
            <w:t>8.1环境风险评价等级</w:t>
          </w:r>
          <w:r>
            <w:tab/>
          </w:r>
          <w:r>
            <w:fldChar w:fldCharType="begin"/>
          </w:r>
          <w:r>
            <w:instrText xml:space="preserve"> PAGEREF _Toc20899 \h </w:instrText>
          </w:r>
          <w:r>
            <w:fldChar w:fldCharType="separate"/>
          </w:r>
          <w:r>
            <w:t>193</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_Toc13287 </w:instrText>
          </w:r>
          <w:r>
            <w:rPr>
              <w:rFonts w:hint="eastAsia"/>
            </w:rPr>
            <w:fldChar w:fldCharType="separate"/>
          </w:r>
          <w:r>
            <w:rPr>
              <w:rFonts w:hint="eastAsia"/>
              <w:lang w:val="en-US" w:eastAsia="zh-CN"/>
            </w:rPr>
            <w:t>8</w:t>
          </w:r>
          <w:r>
            <w:t>.</w:t>
          </w:r>
          <w:r>
            <w:rPr>
              <w:rFonts w:hint="eastAsia"/>
              <w:lang w:val="en-US" w:eastAsia="zh-CN"/>
            </w:rPr>
            <w:t>2</w:t>
          </w:r>
          <w:r>
            <w:t>突发大气环境事件风险分级</w:t>
          </w:r>
          <w:r>
            <w:tab/>
          </w:r>
          <w:r>
            <w:fldChar w:fldCharType="begin"/>
          </w:r>
          <w:r>
            <w:instrText xml:space="preserve"> PAGEREF _Toc13287 \h </w:instrText>
          </w:r>
          <w:r>
            <w:fldChar w:fldCharType="separate"/>
          </w:r>
          <w:r>
            <w:t>195</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_Toc9887 </w:instrText>
          </w:r>
          <w:r>
            <w:rPr>
              <w:rFonts w:hint="eastAsia"/>
            </w:rPr>
            <w:fldChar w:fldCharType="separate"/>
          </w:r>
          <w:r>
            <w:rPr>
              <w:rFonts w:hint="eastAsia"/>
              <w:lang w:val="en-US" w:eastAsia="zh-CN"/>
            </w:rPr>
            <w:t>8.2.1生产工艺过程与大气环境风险控制水平（M）评估</w:t>
          </w:r>
          <w:r>
            <w:tab/>
          </w:r>
          <w:r>
            <w:fldChar w:fldCharType="begin"/>
          </w:r>
          <w:r>
            <w:instrText xml:space="preserve"> PAGEREF _Toc9887 \h </w:instrText>
          </w:r>
          <w:r>
            <w:fldChar w:fldCharType="separate"/>
          </w:r>
          <w:r>
            <w:t>196</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_Toc29981 </w:instrText>
          </w:r>
          <w:r>
            <w:rPr>
              <w:rFonts w:hint="eastAsia"/>
            </w:rPr>
            <w:fldChar w:fldCharType="separate"/>
          </w:r>
          <w:r>
            <w:rPr>
              <w:rFonts w:hint="eastAsia"/>
              <w:lang w:val="en-US" w:eastAsia="zh-CN"/>
            </w:rPr>
            <w:t>8.2.2突发大气环境事件风险等级确定</w:t>
          </w:r>
          <w:r>
            <w:tab/>
          </w:r>
          <w:r>
            <w:fldChar w:fldCharType="begin"/>
          </w:r>
          <w:r>
            <w:instrText xml:space="preserve"> PAGEREF _Toc29981 \h </w:instrText>
          </w:r>
          <w:r>
            <w:fldChar w:fldCharType="separate"/>
          </w:r>
          <w:r>
            <w:t>199</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_Toc31775 </w:instrText>
          </w:r>
          <w:r>
            <w:rPr>
              <w:rFonts w:hint="eastAsia"/>
            </w:rPr>
            <w:fldChar w:fldCharType="separate"/>
          </w:r>
          <w:r>
            <w:rPr>
              <w:rFonts w:hint="eastAsia"/>
              <w:lang w:val="en-US" w:eastAsia="zh-CN"/>
            </w:rPr>
            <w:t>8.3</w:t>
          </w:r>
          <w:r>
            <w:rPr>
              <w:rFonts w:hint="default"/>
              <w:lang w:val="en-US" w:eastAsia="zh-CN"/>
            </w:rPr>
            <w:t>突发水环境事件风险等级</w:t>
          </w:r>
          <w:r>
            <w:tab/>
          </w:r>
          <w:r>
            <w:fldChar w:fldCharType="begin"/>
          </w:r>
          <w:r>
            <w:instrText xml:space="preserve"> PAGEREF _Toc31775 \h </w:instrText>
          </w:r>
          <w:r>
            <w:fldChar w:fldCharType="separate"/>
          </w:r>
          <w:r>
            <w:t>199</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_Toc7254 </w:instrText>
          </w:r>
          <w:r>
            <w:rPr>
              <w:rFonts w:hint="eastAsia"/>
            </w:rPr>
            <w:fldChar w:fldCharType="separate"/>
          </w:r>
          <w:r>
            <w:rPr>
              <w:rFonts w:hint="eastAsia"/>
              <w:lang w:val="en-US" w:eastAsia="zh-CN"/>
            </w:rPr>
            <w:t>8.3.1生产工艺过程与水环境风险控制水平（M）评估</w:t>
          </w:r>
          <w:r>
            <w:tab/>
          </w:r>
          <w:r>
            <w:fldChar w:fldCharType="begin"/>
          </w:r>
          <w:r>
            <w:instrText xml:space="preserve"> PAGEREF _Toc7254 \h </w:instrText>
          </w:r>
          <w:r>
            <w:fldChar w:fldCharType="separate"/>
          </w:r>
          <w:r>
            <w:t>202</w:t>
          </w:r>
          <w:r>
            <w:fldChar w:fldCharType="end"/>
          </w:r>
          <w:r>
            <w:rPr>
              <w:rFonts w:hint="eastAsia"/>
            </w:rPr>
            <w:fldChar w:fldCharType="end"/>
          </w:r>
        </w:p>
        <w:p>
          <w:pPr>
            <w:pStyle w:val="11"/>
            <w:tabs>
              <w:tab w:val="right" w:leader="dot" w:pos="8250"/>
            </w:tabs>
          </w:pPr>
          <w:r>
            <w:rPr>
              <w:rFonts w:hint="eastAsia"/>
            </w:rPr>
            <w:fldChar w:fldCharType="begin"/>
          </w:r>
          <w:r>
            <w:rPr>
              <w:rFonts w:hint="eastAsia"/>
            </w:rPr>
            <w:instrText xml:space="preserve"> HYPERLINK \l _Toc13801 </w:instrText>
          </w:r>
          <w:r>
            <w:rPr>
              <w:rFonts w:hint="eastAsia"/>
            </w:rPr>
            <w:fldChar w:fldCharType="separate"/>
          </w:r>
          <w:r>
            <w:rPr>
              <w:rFonts w:hint="eastAsia"/>
              <w:lang w:val="en-US" w:eastAsia="zh-CN"/>
            </w:rPr>
            <w:t>8.3.2突发水环境事件风险等级确定</w:t>
          </w:r>
          <w:r>
            <w:tab/>
          </w:r>
          <w:r>
            <w:fldChar w:fldCharType="begin"/>
          </w:r>
          <w:r>
            <w:instrText xml:space="preserve"> PAGEREF _Toc13801 \h </w:instrText>
          </w:r>
          <w:r>
            <w:fldChar w:fldCharType="separate"/>
          </w:r>
          <w:r>
            <w:t>206</w:t>
          </w:r>
          <w:r>
            <w:fldChar w:fldCharType="end"/>
          </w:r>
          <w:r>
            <w:rPr>
              <w:rFonts w:hint="eastAsia"/>
            </w:rPr>
            <w:fldChar w:fldCharType="end"/>
          </w:r>
        </w:p>
        <w:p>
          <w:pPr>
            <w:pStyle w:val="16"/>
            <w:tabs>
              <w:tab w:val="right" w:leader="dot" w:pos="8250"/>
            </w:tabs>
          </w:pPr>
          <w:r>
            <w:rPr>
              <w:rFonts w:hint="eastAsia"/>
            </w:rPr>
            <w:fldChar w:fldCharType="begin"/>
          </w:r>
          <w:r>
            <w:rPr>
              <w:rFonts w:hint="eastAsia"/>
            </w:rPr>
            <w:instrText xml:space="preserve"> HYPERLINK \l _Toc27836 </w:instrText>
          </w:r>
          <w:r>
            <w:rPr>
              <w:rFonts w:hint="eastAsia"/>
            </w:rPr>
            <w:fldChar w:fldCharType="separate"/>
          </w:r>
          <w:r>
            <w:rPr>
              <w:rFonts w:hint="eastAsia"/>
              <w:lang w:val="en-US" w:eastAsia="zh-CN"/>
            </w:rPr>
            <w:t>8.4</w:t>
          </w:r>
          <w:r>
            <w:rPr>
              <w:rFonts w:hint="default"/>
              <w:lang w:val="en-US" w:eastAsia="zh-CN"/>
            </w:rPr>
            <w:t>企业突发环境事件风险等级确定</w:t>
          </w:r>
          <w:r>
            <w:tab/>
          </w:r>
          <w:r>
            <w:fldChar w:fldCharType="begin"/>
          </w:r>
          <w:r>
            <w:instrText xml:space="preserve"> PAGEREF _Toc27836 \h </w:instrText>
          </w:r>
          <w:r>
            <w:fldChar w:fldCharType="separate"/>
          </w:r>
          <w:r>
            <w:t>207</w:t>
          </w:r>
          <w:r>
            <w:fldChar w:fldCharType="end"/>
          </w:r>
          <w:r>
            <w:rPr>
              <w:rFonts w:hint="eastAsia"/>
            </w:rPr>
            <w:fldChar w:fldCharType="end"/>
          </w:r>
        </w:p>
        <w:p>
          <w:pPr>
            <w:pStyle w:val="24"/>
            <w:rPr>
              <w:rFonts w:hint="eastAsia" w:ascii="Calibri" w:hAnsi="Calibri" w:eastAsia="宋体" w:cs="Times New Roman"/>
              <w:kern w:val="0"/>
              <w:sz w:val="21"/>
              <w:szCs w:val="28"/>
              <w:lang w:val="en-US" w:eastAsia="zh-CN" w:bidi="ar-SA"/>
            </w:rPr>
          </w:pPr>
          <w:r>
            <w:rPr>
              <w:rFonts w:hint="eastAsia"/>
            </w:rPr>
            <w:fldChar w:fldCharType="end"/>
          </w:r>
        </w:p>
      </w:sdtContent>
    </w:sdt>
    <w:p>
      <w:pPr>
        <w:pStyle w:val="24"/>
        <w:rPr>
          <w:rFonts w:hint="eastAsia" w:ascii="Calibri" w:hAnsi="Calibri" w:eastAsia="宋体" w:cs="Times New Roman"/>
          <w:kern w:val="0"/>
          <w:sz w:val="21"/>
          <w:szCs w:val="28"/>
          <w:lang w:val="en-US" w:eastAsia="zh-CN" w:bidi="ar-SA"/>
        </w:rPr>
      </w:pPr>
    </w:p>
    <w:p>
      <w:pPr>
        <w:pStyle w:val="3"/>
        <w:bidi w:val="0"/>
        <w:outlineLvl w:val="9"/>
        <w:rPr>
          <w:rStyle w:val="25"/>
          <w:rFonts w:hint="eastAsia"/>
          <w:b/>
          <w:lang w:val="en-US" w:eastAsia="zh-CN"/>
        </w:rPr>
        <w:sectPr>
          <w:pgSz w:w="11850" w:h="16783"/>
          <w:pgMar w:top="1440" w:right="1800" w:bottom="1440" w:left="1800" w:header="851" w:footer="964" w:gutter="0"/>
          <w:pgBorders w:offsetFrom="page">
            <w:top w:val="none" w:sz="0" w:space="0"/>
            <w:left w:val="none" w:sz="0" w:space="0"/>
            <w:bottom w:val="none" w:sz="0" w:space="0"/>
            <w:right w:val="none" w:sz="0" w:space="0"/>
          </w:pgBorders>
          <w:cols w:space="720" w:num="1"/>
          <w:docGrid w:type="linesAndChars" w:linePitch="466" w:charSpace="3430"/>
        </w:sectPr>
      </w:pPr>
      <w:bookmarkStart w:id="0" w:name="_Toc22142"/>
    </w:p>
    <w:p>
      <w:pPr>
        <w:pStyle w:val="3"/>
        <w:bidi w:val="0"/>
        <w:rPr>
          <w:rFonts w:hint="eastAsia" w:ascii="宋体" w:hAnsi="宋体" w:eastAsia="宋体" w:cs="宋体"/>
          <w:lang w:val="en-US" w:eastAsia="zh-CN"/>
        </w:rPr>
      </w:pPr>
      <w:bookmarkStart w:id="1" w:name="_Toc18069"/>
      <w:bookmarkStart w:id="2" w:name="_Toc32749"/>
      <w:r>
        <w:rPr>
          <w:rStyle w:val="25"/>
          <w:rFonts w:hint="eastAsia"/>
          <w:b/>
          <w:lang w:val="en-US" w:eastAsia="zh-CN"/>
        </w:rPr>
        <w:t>1前言</w:t>
      </w:r>
      <w:bookmarkEnd w:id="0"/>
      <w:bookmarkEnd w:id="1"/>
      <w:bookmarkEnd w:id="2"/>
    </w:p>
    <w:p>
      <w:pPr>
        <w:spacing w:before="145" w:line="360" w:lineRule="auto"/>
        <w:ind w:left="30" w:right="75" w:firstLine="512"/>
        <w:rPr>
          <w:color w:val="auto"/>
          <w:sz w:val="24"/>
          <w:highlight w:val="none"/>
        </w:rPr>
      </w:pPr>
      <w:r>
        <w:rPr>
          <w:color w:val="auto"/>
          <w:spacing w:val="-4"/>
          <w:sz w:val="24"/>
          <w:highlight w:val="none"/>
        </w:rPr>
        <w:t>中国石油天然气股份</w:t>
      </w:r>
      <w:r>
        <w:rPr>
          <w:color w:val="auto"/>
          <w:spacing w:val="-2"/>
          <w:sz w:val="24"/>
          <w:highlight w:val="none"/>
        </w:rPr>
        <w:t>有限公司呼和浩特石化分公司位于呼和浩特市赛罕区金河镇，</w:t>
      </w:r>
      <w:r>
        <w:rPr>
          <w:color w:val="auto"/>
          <w:spacing w:val="-10"/>
          <w:sz w:val="24"/>
          <w:highlight w:val="none"/>
        </w:rPr>
        <w:t>原</w:t>
      </w:r>
      <w:r>
        <w:rPr>
          <w:color w:val="auto"/>
          <w:spacing w:val="-6"/>
          <w:sz w:val="24"/>
          <w:highlight w:val="none"/>
        </w:rPr>
        <w:t>名呼和浩特炼油厂，曾隶属华北石油管理局、华北油田公司， 是国家"八五"重点工程</w:t>
      </w:r>
      <w:r>
        <w:rPr>
          <w:color w:val="auto"/>
          <w:spacing w:val="1"/>
          <w:sz w:val="24"/>
          <w:highlight w:val="none"/>
        </w:rPr>
        <w:t>之一，与二连油田开发、</w:t>
      </w:r>
      <w:r>
        <w:rPr>
          <w:color w:val="auto"/>
          <w:sz w:val="24"/>
          <w:highlight w:val="none"/>
        </w:rPr>
        <w:t>阿赛输油管线并称内蒙古三项石油工程。工程于1988年开始</w:t>
      </w:r>
      <w:r>
        <w:rPr>
          <w:color w:val="auto"/>
          <w:spacing w:val="-26"/>
          <w:sz w:val="24"/>
          <w:highlight w:val="none"/>
        </w:rPr>
        <w:t>筹建，</w:t>
      </w:r>
      <w:r>
        <w:rPr>
          <w:color w:val="auto"/>
          <w:spacing w:val="-13"/>
          <w:sz w:val="24"/>
          <w:highlight w:val="none"/>
        </w:rPr>
        <w:t>1992年9月29日正式投产。中国石油重组改制后，于2000年7月1日划归中国</w:t>
      </w:r>
      <w:r>
        <w:rPr>
          <w:color w:val="auto"/>
          <w:spacing w:val="4"/>
          <w:sz w:val="24"/>
          <w:highlight w:val="none"/>
        </w:rPr>
        <w:t>石油天</w:t>
      </w:r>
      <w:r>
        <w:rPr>
          <w:color w:val="auto"/>
          <w:spacing w:val="2"/>
          <w:sz w:val="24"/>
          <w:highlight w:val="none"/>
        </w:rPr>
        <w:t>然气股份有限公司直接管理，并正式更名为“中国石油天然气股份有限公司呼和</w:t>
      </w:r>
      <w:r>
        <w:rPr>
          <w:color w:val="auto"/>
          <w:spacing w:val="-1"/>
          <w:sz w:val="24"/>
          <w:highlight w:val="none"/>
        </w:rPr>
        <w:t>浩特</w:t>
      </w:r>
      <w:r>
        <w:rPr>
          <w:color w:val="auto"/>
          <w:sz w:val="24"/>
          <w:highlight w:val="none"/>
        </w:rPr>
        <w:t>石化分公司”。</w:t>
      </w:r>
    </w:p>
    <w:p>
      <w:pPr>
        <w:spacing w:before="2" w:line="360" w:lineRule="auto"/>
        <w:ind w:left="28" w:right="73" w:firstLine="497"/>
        <w:rPr>
          <w:color w:val="auto"/>
          <w:sz w:val="24"/>
          <w:highlight w:val="none"/>
        </w:rPr>
      </w:pPr>
      <w:r>
        <w:rPr>
          <w:color w:val="auto"/>
          <w:spacing w:val="-9"/>
          <w:sz w:val="24"/>
          <w:highlight w:val="none"/>
        </w:rPr>
        <w:t>更</w:t>
      </w:r>
      <w:r>
        <w:rPr>
          <w:color w:val="auto"/>
          <w:spacing w:val="-8"/>
          <w:sz w:val="24"/>
          <w:highlight w:val="none"/>
        </w:rPr>
        <w:t>名后，公司决定在原厂拆除原有装置的基础上进行新建，实施中国石油呼和浩特</w:t>
      </w:r>
      <w:r>
        <w:rPr>
          <w:color w:val="auto"/>
          <w:spacing w:val="-2"/>
          <w:sz w:val="24"/>
          <w:highlight w:val="none"/>
        </w:rPr>
        <w:t>石化公司500×10</w:t>
      </w:r>
      <w:r>
        <w:rPr>
          <w:rFonts w:hint="eastAsia"/>
          <w:color w:val="auto"/>
          <w:spacing w:val="-2"/>
          <w:sz w:val="24"/>
          <w:highlight w:val="none"/>
          <w:vertAlign w:val="superscript"/>
        </w:rPr>
        <w:t>4</w:t>
      </w:r>
      <w:r>
        <w:rPr>
          <w:color w:val="auto"/>
          <w:spacing w:val="-1"/>
          <w:sz w:val="24"/>
          <w:highlight w:val="none"/>
        </w:rPr>
        <w:t>t</w:t>
      </w:r>
      <w:r>
        <w:rPr>
          <w:color w:val="auto"/>
          <w:spacing w:val="-2"/>
          <w:sz w:val="24"/>
          <w:highlight w:val="none"/>
        </w:rPr>
        <w:t>/</w:t>
      </w:r>
      <w:r>
        <w:rPr>
          <w:color w:val="auto"/>
          <w:sz w:val="24"/>
          <w:highlight w:val="none"/>
        </w:rPr>
        <w:t>a</w:t>
      </w:r>
      <w:r>
        <w:rPr>
          <w:color w:val="auto"/>
          <w:spacing w:val="-2"/>
          <w:sz w:val="24"/>
          <w:highlight w:val="none"/>
        </w:rPr>
        <w:t>炼油扩能改造项目。该项目以长庆原油、二连原油、塔木察格等混合原油为原料，</w:t>
      </w:r>
      <w:r>
        <w:rPr>
          <w:color w:val="auto"/>
          <w:spacing w:val="-1"/>
          <w:sz w:val="24"/>
          <w:highlight w:val="none"/>
        </w:rPr>
        <w:t>生产汽油、柴油、石脑油等优质清洁燃料和化工原料，并副产聚丙烯、</w:t>
      </w:r>
      <w:r>
        <w:rPr>
          <w:color w:val="auto"/>
          <w:spacing w:val="-7"/>
          <w:sz w:val="24"/>
          <w:highlight w:val="none"/>
        </w:rPr>
        <w:t>燃</w:t>
      </w:r>
      <w:r>
        <w:rPr>
          <w:color w:val="auto"/>
          <w:spacing w:val="-5"/>
          <w:sz w:val="24"/>
          <w:highlight w:val="none"/>
        </w:rPr>
        <w:t>料油、苯、液化气、硫磺等产品。2009年10月26日，原环保部以环审[2009]459号</w:t>
      </w:r>
      <w:r>
        <w:rPr>
          <w:color w:val="auto"/>
          <w:spacing w:val="1"/>
          <w:sz w:val="24"/>
          <w:highlight w:val="none"/>
        </w:rPr>
        <w:t>《</w:t>
      </w:r>
      <w:r>
        <w:rPr>
          <w:color w:val="auto"/>
          <w:sz w:val="24"/>
          <w:highlight w:val="none"/>
        </w:rPr>
        <w:t>关于中国石油呼和浩特石化公司500万吨/年炼油扩能改造项目环境影响报告书的批</w:t>
      </w:r>
      <w:r>
        <w:rPr>
          <w:color w:val="auto"/>
          <w:spacing w:val="-6"/>
          <w:sz w:val="24"/>
          <w:highlight w:val="none"/>
        </w:rPr>
        <w:t>复》给予批复。</w:t>
      </w:r>
    </w:p>
    <w:p>
      <w:pPr>
        <w:spacing w:before="1" w:line="360" w:lineRule="auto"/>
        <w:ind w:left="28" w:right="75" w:firstLine="485"/>
        <w:rPr>
          <w:color w:val="auto"/>
          <w:sz w:val="24"/>
          <w:highlight w:val="none"/>
        </w:rPr>
      </w:pPr>
      <w:r>
        <w:rPr>
          <w:color w:val="auto"/>
          <w:spacing w:val="-5"/>
          <w:sz w:val="24"/>
          <w:highlight w:val="none"/>
        </w:rPr>
        <w:t>2</w:t>
      </w:r>
      <w:r>
        <w:rPr>
          <w:color w:val="auto"/>
          <w:spacing w:val="-3"/>
          <w:sz w:val="24"/>
          <w:highlight w:val="none"/>
        </w:rPr>
        <w:t>009年12月3日，内蒙古自治区发展和改革委员会以内发改工字[2009]2617号文</w:t>
      </w:r>
      <w:r>
        <w:rPr>
          <w:color w:val="auto"/>
          <w:spacing w:val="-8"/>
          <w:sz w:val="24"/>
          <w:highlight w:val="none"/>
        </w:rPr>
        <w:t>《关</w:t>
      </w:r>
      <w:r>
        <w:rPr>
          <w:color w:val="auto"/>
          <w:spacing w:val="-4"/>
          <w:sz w:val="24"/>
          <w:highlight w:val="none"/>
        </w:rPr>
        <w:t>于中国石油呼和浩特石化公司500万吨/年炼油扩能改造项目核准的批复》核准了该</w:t>
      </w:r>
      <w:r>
        <w:rPr>
          <w:color w:val="auto"/>
          <w:spacing w:val="-11"/>
          <w:sz w:val="24"/>
          <w:highlight w:val="none"/>
        </w:rPr>
        <w:t>项目。</w:t>
      </w:r>
    </w:p>
    <w:p>
      <w:pPr>
        <w:spacing w:before="5" w:line="360" w:lineRule="auto"/>
        <w:ind w:left="36" w:firstLine="477"/>
        <w:rPr>
          <w:color w:val="auto"/>
          <w:spacing w:val="-4"/>
          <w:sz w:val="24"/>
          <w:highlight w:val="none"/>
        </w:rPr>
      </w:pPr>
      <w:r>
        <w:rPr>
          <w:color w:val="auto"/>
          <w:spacing w:val="-10"/>
          <w:sz w:val="24"/>
          <w:highlight w:val="none"/>
        </w:rPr>
        <w:t>2012年</w:t>
      </w:r>
      <w:r>
        <w:rPr>
          <w:color w:val="auto"/>
          <w:spacing w:val="-5"/>
          <w:sz w:val="24"/>
          <w:highlight w:val="none"/>
        </w:rPr>
        <w:t>10月，内蒙古自治区环境保护厅以内环字[2012]187 号文《关于同意中国石</w:t>
      </w:r>
      <w:r>
        <w:rPr>
          <w:color w:val="auto"/>
          <w:spacing w:val="-8"/>
          <w:sz w:val="24"/>
          <w:highlight w:val="none"/>
        </w:rPr>
        <w:t>油呼和浩</w:t>
      </w:r>
      <w:r>
        <w:rPr>
          <w:color w:val="auto"/>
          <w:spacing w:val="-4"/>
          <w:sz w:val="24"/>
          <w:highlight w:val="none"/>
        </w:rPr>
        <w:t>特石化公司500万吨/年炼油扩能改造项目试生产的审查意见》批复其进入试生</w:t>
      </w:r>
      <w:r>
        <w:rPr>
          <w:color w:val="auto"/>
          <w:spacing w:val="-5"/>
          <w:sz w:val="24"/>
          <w:highlight w:val="none"/>
        </w:rPr>
        <w:t>产。呼和浩特石化公司500万吨/年炼油扩能改造工程于2012年10月28日全面建</w:t>
      </w:r>
      <w:r>
        <w:rPr>
          <w:color w:val="auto"/>
          <w:spacing w:val="-4"/>
          <w:sz w:val="24"/>
          <w:highlight w:val="none"/>
        </w:rPr>
        <w:t>成</w:t>
      </w:r>
      <w:r>
        <w:rPr>
          <w:color w:val="auto"/>
          <w:sz w:val="24"/>
          <w:highlight w:val="none"/>
        </w:rPr>
        <w:t>并</w:t>
      </w:r>
      <w:r>
        <w:rPr>
          <w:color w:val="auto"/>
          <w:spacing w:val="-14"/>
          <w:sz w:val="24"/>
          <w:highlight w:val="none"/>
        </w:rPr>
        <w:t>一次开</w:t>
      </w:r>
      <w:r>
        <w:rPr>
          <w:color w:val="auto"/>
          <w:spacing w:val="-11"/>
          <w:sz w:val="24"/>
          <w:highlight w:val="none"/>
        </w:rPr>
        <w:t>车</w:t>
      </w:r>
      <w:r>
        <w:rPr>
          <w:color w:val="auto"/>
          <w:spacing w:val="-7"/>
          <w:sz w:val="24"/>
          <w:highlight w:val="none"/>
        </w:rPr>
        <w:t>成功。主体工程内容包括500万吨/年常压蒸馏、280万吨/年催化裂化、60万</w:t>
      </w:r>
      <w:r>
        <w:rPr>
          <w:color w:val="auto"/>
          <w:spacing w:val="-3"/>
          <w:sz w:val="24"/>
          <w:highlight w:val="none"/>
        </w:rPr>
        <w:t>吨/年连续重整、10万吨/年苯抽提、170万吨/年柴油加氢精制(包括30万吨/年航</w:t>
      </w:r>
      <w:r>
        <w:rPr>
          <w:color w:val="auto"/>
          <w:sz w:val="24"/>
          <w:highlight w:val="none"/>
        </w:rPr>
        <w:t>煤加</w:t>
      </w:r>
      <w:r>
        <w:rPr>
          <w:color w:val="auto"/>
          <w:spacing w:val="-4"/>
          <w:sz w:val="24"/>
          <w:highlight w:val="none"/>
        </w:rPr>
        <w:t>氢精制)、150 × 10</w:t>
      </w:r>
      <w:r>
        <w:rPr>
          <w:rFonts w:hint="eastAsia"/>
          <w:color w:val="auto"/>
          <w:spacing w:val="-4"/>
          <w:sz w:val="24"/>
          <w:highlight w:val="none"/>
          <w:vertAlign w:val="superscript"/>
        </w:rPr>
        <w:t>4</w:t>
      </w:r>
      <w:r>
        <w:rPr>
          <w:color w:val="auto"/>
          <w:spacing w:val="-2"/>
          <w:sz w:val="24"/>
          <w:highlight w:val="none"/>
        </w:rPr>
        <w:t>t</w:t>
      </w:r>
      <w:r>
        <w:rPr>
          <w:color w:val="auto"/>
          <w:spacing w:val="-4"/>
          <w:sz w:val="24"/>
          <w:highlight w:val="none"/>
        </w:rPr>
        <w:t>/</w:t>
      </w:r>
      <w:r>
        <w:rPr>
          <w:color w:val="auto"/>
          <w:spacing w:val="-2"/>
          <w:sz w:val="24"/>
          <w:highlight w:val="none"/>
        </w:rPr>
        <w:t>a</w:t>
      </w:r>
      <w:r>
        <w:rPr>
          <w:color w:val="auto"/>
          <w:spacing w:val="-4"/>
          <w:sz w:val="24"/>
          <w:highlight w:val="none"/>
        </w:rPr>
        <w:t xml:space="preserve"> 催</w:t>
      </w:r>
      <w:r>
        <w:rPr>
          <w:color w:val="auto"/>
          <w:spacing w:val="-3"/>
          <w:sz w:val="24"/>
          <w:highlight w:val="none"/>
        </w:rPr>
        <w:t>化</w:t>
      </w:r>
      <w:r>
        <w:rPr>
          <w:color w:val="auto"/>
          <w:spacing w:val="-2"/>
          <w:sz w:val="24"/>
          <w:highlight w:val="none"/>
        </w:rPr>
        <w:t>汽油选择性加氢装置(含30万吨/年轻汽油醚化装置)、90</w:t>
      </w:r>
      <w:r>
        <w:rPr>
          <w:color w:val="auto"/>
          <w:spacing w:val="-16"/>
          <w:sz w:val="24"/>
          <w:highlight w:val="none"/>
        </w:rPr>
        <w:t>万吨/</w:t>
      </w:r>
      <w:r>
        <w:rPr>
          <w:color w:val="auto"/>
          <w:spacing w:val="-8"/>
          <w:sz w:val="24"/>
          <w:highlight w:val="none"/>
        </w:rPr>
        <w:t>年柴油加氢改质降凝、15万吨/年聚丙烯、8万吨/年MTBE、50万吨/年气体分馏、</w:t>
      </w:r>
      <w:r>
        <w:rPr>
          <w:color w:val="auto"/>
          <w:spacing w:val="1"/>
          <w:sz w:val="24"/>
          <w:highlight w:val="none"/>
        </w:rPr>
        <w:t>0.5万吨/年硫磺回收装置及 30000</w:t>
      </w:r>
      <w:r>
        <w:rPr>
          <w:color w:val="auto"/>
          <w:sz w:val="24"/>
          <w:highlight w:val="none"/>
        </w:rPr>
        <w:t>Nm</w:t>
      </w:r>
      <w:r>
        <w:rPr>
          <w:rFonts w:hint="eastAsia"/>
          <w:color w:val="auto"/>
          <w:sz w:val="24"/>
          <w:highlight w:val="none"/>
          <w:vertAlign w:val="superscript"/>
        </w:rPr>
        <w:t>3</w:t>
      </w:r>
      <w:r>
        <w:rPr>
          <w:color w:val="auto"/>
          <w:spacing w:val="1"/>
          <w:sz w:val="24"/>
          <w:highlight w:val="none"/>
        </w:rPr>
        <w:t>/</w:t>
      </w:r>
      <w:r>
        <w:rPr>
          <w:color w:val="auto"/>
          <w:sz w:val="24"/>
          <w:highlight w:val="none"/>
        </w:rPr>
        <w:t>h</w:t>
      </w:r>
      <w:r>
        <w:rPr>
          <w:color w:val="auto"/>
          <w:spacing w:val="1"/>
          <w:sz w:val="24"/>
          <w:highlight w:val="none"/>
        </w:rPr>
        <w:t xml:space="preserve"> 氢气提纯装</w:t>
      </w:r>
      <w:r>
        <w:rPr>
          <w:color w:val="auto"/>
          <w:sz w:val="24"/>
          <w:highlight w:val="none"/>
        </w:rPr>
        <w:t>置。呼和浩特石化公司定位于</w:t>
      </w:r>
      <w:r>
        <w:rPr>
          <w:rFonts w:hint="eastAsia"/>
          <w:color w:val="auto"/>
          <w:sz w:val="24"/>
          <w:highlight w:val="none"/>
        </w:rPr>
        <w:t>“</w:t>
      </w:r>
      <w:r>
        <w:rPr>
          <w:color w:val="auto"/>
          <w:sz w:val="24"/>
          <w:highlight w:val="none"/>
        </w:rPr>
        <w:t>短</w:t>
      </w:r>
      <w:r>
        <w:rPr>
          <w:color w:val="auto"/>
          <w:spacing w:val="-14"/>
          <w:sz w:val="24"/>
          <w:highlight w:val="none"/>
        </w:rPr>
        <w:t>流</w:t>
      </w:r>
      <w:r>
        <w:rPr>
          <w:color w:val="auto"/>
          <w:spacing w:val="-10"/>
          <w:sz w:val="24"/>
          <w:highlight w:val="none"/>
        </w:rPr>
        <w:t>程</w:t>
      </w:r>
      <w:r>
        <w:rPr>
          <w:color w:val="auto"/>
          <w:spacing w:val="-7"/>
          <w:sz w:val="24"/>
          <w:highlight w:val="none"/>
        </w:rPr>
        <w:t>、燃料型</w:t>
      </w:r>
      <w:r>
        <w:rPr>
          <w:rFonts w:hint="eastAsia"/>
          <w:color w:val="auto"/>
          <w:sz w:val="24"/>
          <w:highlight w:val="none"/>
        </w:rPr>
        <w:t>”</w:t>
      </w:r>
      <w:r>
        <w:rPr>
          <w:color w:val="auto"/>
          <w:spacing w:val="-7"/>
          <w:sz w:val="24"/>
          <w:highlight w:val="none"/>
        </w:rPr>
        <w:t>炼油厂， 主要生产车用汽柴油、3#喷气燃料、燃料油、液化石油气、聚</w:t>
      </w:r>
      <w:r>
        <w:rPr>
          <w:color w:val="auto"/>
          <w:spacing w:val="-2"/>
          <w:sz w:val="24"/>
          <w:highlight w:val="none"/>
        </w:rPr>
        <w:t>丙烯树脂、石油苯、工业硫磺等6</w:t>
      </w:r>
      <w:r>
        <w:rPr>
          <w:color w:val="auto"/>
          <w:spacing w:val="-1"/>
          <w:sz w:val="24"/>
          <w:highlight w:val="none"/>
        </w:rPr>
        <w:t xml:space="preserve"> 大类13种产品，主要满足内蒙古、山西及周边地区</w:t>
      </w:r>
      <w:r>
        <w:rPr>
          <w:color w:val="auto"/>
          <w:spacing w:val="-8"/>
          <w:sz w:val="24"/>
          <w:highlight w:val="none"/>
        </w:rPr>
        <w:t>市</w:t>
      </w:r>
      <w:r>
        <w:rPr>
          <w:color w:val="auto"/>
          <w:spacing w:val="-4"/>
          <w:sz w:val="24"/>
          <w:highlight w:val="none"/>
        </w:rPr>
        <w:t>场需求，并出口蒙古国。</w:t>
      </w:r>
    </w:p>
    <w:p>
      <w:pPr>
        <w:spacing w:before="4" w:line="360" w:lineRule="auto"/>
        <w:ind w:left="28" w:right="74" w:firstLine="482"/>
        <w:rPr>
          <w:color w:val="auto"/>
          <w:sz w:val="24"/>
          <w:highlight w:val="none"/>
        </w:rPr>
      </w:pPr>
      <w:r>
        <w:rPr>
          <w:color w:val="auto"/>
          <w:spacing w:val="-18"/>
          <w:sz w:val="24"/>
          <w:highlight w:val="none"/>
        </w:rPr>
        <w:t>按照</w:t>
      </w:r>
      <w:r>
        <w:rPr>
          <w:color w:val="auto"/>
          <w:spacing w:val="-9"/>
          <w:sz w:val="24"/>
          <w:highlight w:val="none"/>
        </w:rPr>
        <w:t>国家油品质量升级要求，后续公司投资4.1×10</w:t>
      </w:r>
      <w:r>
        <w:rPr>
          <w:rFonts w:hint="eastAsia"/>
          <w:color w:val="auto"/>
          <w:spacing w:val="-9"/>
          <w:sz w:val="24"/>
          <w:highlight w:val="none"/>
          <w:vertAlign w:val="superscript"/>
        </w:rPr>
        <w:t>8</w:t>
      </w:r>
      <w:r>
        <w:rPr>
          <w:color w:val="auto"/>
          <w:spacing w:val="-9"/>
          <w:sz w:val="24"/>
          <w:highlight w:val="none"/>
        </w:rPr>
        <w:t>元配套建设并投产了汽油质量</w:t>
      </w:r>
      <w:r>
        <w:rPr>
          <w:color w:val="auto"/>
          <w:spacing w:val="-11"/>
          <w:sz w:val="24"/>
          <w:highlight w:val="none"/>
        </w:rPr>
        <w:t>升</w:t>
      </w:r>
      <w:r>
        <w:rPr>
          <w:color w:val="auto"/>
          <w:spacing w:val="-7"/>
          <w:sz w:val="24"/>
          <w:highlight w:val="none"/>
        </w:rPr>
        <w:t>级项目。又建设了280×10</w:t>
      </w:r>
      <w:r>
        <w:rPr>
          <w:rFonts w:hint="eastAsia"/>
          <w:color w:val="auto"/>
          <w:spacing w:val="-7"/>
          <w:sz w:val="24"/>
          <w:highlight w:val="none"/>
          <w:vertAlign w:val="superscript"/>
        </w:rPr>
        <w:t>4</w:t>
      </w:r>
      <w:r>
        <w:rPr>
          <w:color w:val="auto"/>
          <w:spacing w:val="-7"/>
          <w:sz w:val="24"/>
          <w:highlight w:val="none"/>
        </w:rPr>
        <w:t>t/a 催化再生烟气脱硫脱硝项目、车用柴油质量升级(国V)</w:t>
      </w:r>
      <w:r>
        <w:rPr>
          <w:color w:val="auto"/>
          <w:sz w:val="24"/>
          <w:highlight w:val="none"/>
        </w:rPr>
        <w:t xml:space="preserve"> </w:t>
      </w:r>
      <w:r>
        <w:rPr>
          <w:color w:val="auto"/>
          <w:spacing w:val="-2"/>
          <w:sz w:val="24"/>
          <w:highlight w:val="none"/>
        </w:rPr>
        <w:t>项目、全厂含氢尾气氢气回收改造项目(改扩</w:t>
      </w:r>
      <w:r>
        <w:rPr>
          <w:color w:val="auto"/>
          <w:spacing w:val="-1"/>
          <w:sz w:val="24"/>
          <w:highlight w:val="none"/>
        </w:rPr>
        <w:t>建2#PSA装置)、国V汽油质量升级改</w:t>
      </w:r>
      <w:r>
        <w:rPr>
          <w:color w:val="auto"/>
          <w:spacing w:val="-4"/>
          <w:sz w:val="24"/>
          <w:highlight w:val="none"/>
        </w:rPr>
        <w:t>造项目、减压蒸汽系统优化运行</w:t>
      </w:r>
      <w:r>
        <w:rPr>
          <w:color w:val="auto"/>
          <w:spacing w:val="-3"/>
          <w:sz w:val="24"/>
          <w:highlight w:val="none"/>
        </w:rPr>
        <w:t>改</w:t>
      </w:r>
      <w:r>
        <w:rPr>
          <w:color w:val="auto"/>
          <w:spacing w:val="-2"/>
          <w:sz w:val="24"/>
          <w:highlight w:val="none"/>
        </w:rPr>
        <w:t>造节能项目、油品罐区及装卸VOCs治理项目、重整</w:t>
      </w:r>
      <w:r>
        <w:rPr>
          <w:color w:val="auto"/>
          <w:spacing w:val="-4"/>
          <w:sz w:val="24"/>
          <w:highlight w:val="none"/>
        </w:rPr>
        <w:t>装置再生烟气环保达标治理项目</w:t>
      </w:r>
      <w:r>
        <w:rPr>
          <w:color w:val="auto"/>
          <w:spacing w:val="-3"/>
          <w:sz w:val="24"/>
          <w:highlight w:val="none"/>
        </w:rPr>
        <w:t>、</w:t>
      </w:r>
      <w:r>
        <w:rPr>
          <w:color w:val="auto"/>
          <w:spacing w:val="-2"/>
          <w:sz w:val="24"/>
          <w:highlight w:val="none"/>
        </w:rPr>
        <w:t>废水收集及处理系统 VOCs 污染源治理项目、硫磺回</w:t>
      </w:r>
      <w:r>
        <w:rPr>
          <w:color w:val="auto"/>
          <w:spacing w:val="-3"/>
          <w:sz w:val="24"/>
          <w:highlight w:val="none"/>
        </w:rPr>
        <w:t>收装置双系列改造项目、航煤接卸与储存设施改造项目、5万吨年丙烷脱氢项目</w:t>
      </w:r>
      <w:r>
        <w:rPr>
          <w:color w:val="auto"/>
          <w:spacing w:val="-2"/>
          <w:sz w:val="24"/>
          <w:highlight w:val="none"/>
        </w:rPr>
        <w:t>、</w:t>
      </w:r>
      <w:r>
        <w:rPr>
          <w:color w:val="auto"/>
          <w:sz w:val="24"/>
          <w:highlight w:val="none"/>
        </w:rPr>
        <w:t>原油</w:t>
      </w:r>
      <w:r>
        <w:rPr>
          <w:color w:val="auto"/>
          <w:spacing w:val="-1"/>
          <w:sz w:val="24"/>
          <w:highlight w:val="none"/>
        </w:rPr>
        <w:t>储运系统适应性改造项目、污</w:t>
      </w:r>
      <w:r>
        <w:rPr>
          <w:color w:val="auto"/>
          <w:sz w:val="24"/>
          <w:highlight w:val="none"/>
        </w:rPr>
        <w:t>泥减量化技术服务项目等共计13个项目</w:t>
      </w:r>
      <w:r>
        <w:rPr>
          <w:color w:val="auto"/>
          <w:spacing w:val="-9"/>
          <w:sz w:val="24"/>
          <w:highlight w:val="none"/>
        </w:rPr>
        <w:t>。</w:t>
      </w:r>
    </w:p>
    <w:p>
      <w:pPr>
        <w:spacing w:before="4" w:line="360" w:lineRule="auto"/>
        <w:ind w:left="31" w:right="76" w:firstLine="480"/>
        <w:rPr>
          <w:rFonts w:eastAsia="宋体" w:cs="Times New Roman"/>
          <w:color w:val="auto"/>
          <w:spacing w:val="-3"/>
          <w:sz w:val="24"/>
          <w:highlight w:val="none"/>
        </w:rPr>
      </w:pPr>
      <w:r>
        <w:rPr>
          <w:rFonts w:eastAsia="宋体" w:cs="Times New Roman"/>
          <w:color w:val="auto"/>
          <w:spacing w:val="-3"/>
          <w:sz w:val="24"/>
          <w:highlight w:val="none"/>
        </w:rPr>
        <w:t>中国环境监测总站曾于2013年12月组织内蒙古自治区环境监测中心站，按照国家相关管理要求和技术规范，对中国石油呼和浩特石化公司500×10</w:t>
      </w:r>
      <w:r>
        <w:rPr>
          <w:rFonts w:hint="eastAsia" w:eastAsia="宋体" w:cs="Times New Roman"/>
          <w:color w:val="auto"/>
          <w:spacing w:val="-3"/>
          <w:sz w:val="24"/>
          <w:highlight w:val="none"/>
          <w:vertAlign w:val="superscript"/>
        </w:rPr>
        <w:t>4</w:t>
      </w:r>
      <w:r>
        <w:rPr>
          <w:rFonts w:eastAsia="宋体" w:cs="Times New Roman"/>
          <w:color w:val="auto"/>
          <w:spacing w:val="-3"/>
          <w:sz w:val="24"/>
          <w:highlight w:val="none"/>
        </w:rPr>
        <w:t>t/a 炼油扩能改造项目环保验收制定了验收监测方案。内蒙古自治区环境监测中心站分别于2014年8月和9月、2015年1月和4月，按照验收监测方案进行了现场监测工作。其后，因项目卫生防护距离范内居住区未完成搬迁等问题，验收工作搁置。2017年9月，建设单位委托北京凯悦阳光环境技术咨询有限公司编制完成《中国石油呼和浩特石化公司500万吨/年炼油扩能改造项目卫生防护距离专题报告》。</w:t>
      </w:r>
    </w:p>
    <w:p>
      <w:pPr>
        <w:spacing w:before="4" w:line="360" w:lineRule="auto"/>
        <w:ind w:left="31" w:right="76" w:firstLine="480"/>
        <w:rPr>
          <w:rFonts w:eastAsia="宋体" w:cs="Times New Roman"/>
          <w:color w:val="auto"/>
          <w:spacing w:val="-3"/>
          <w:sz w:val="24"/>
          <w:highlight w:val="none"/>
        </w:rPr>
      </w:pPr>
      <w:r>
        <w:rPr>
          <w:rFonts w:eastAsia="宋体" w:cs="Times New Roman"/>
          <w:color w:val="auto"/>
          <w:spacing w:val="-3"/>
          <w:sz w:val="24"/>
          <w:highlight w:val="none"/>
        </w:rPr>
        <w:t>2017年9月，建设单位委托北京国环建邦环保科技有限公司结合中国环境监测总站和内蒙古自治区环境监测中心站的验收监测结果编制了《中国石油呼和浩特石化公司500万吨/年炼油扩能改造项目竣工环保验收监测报告》，于2017年11月2日在呼和浩特市召开竣工环保验收监测报告技术评审会，会后编制单位结合专家意见制定了进一步验收监测方案，并由内蒙古富源新纪检测有限责任公司于2017年11月按照监测方案进行现场监测工作</w:t>
      </w:r>
      <w:r>
        <w:rPr>
          <w:rFonts w:hint="eastAsia" w:eastAsia="宋体" w:cs="Times New Roman"/>
          <w:color w:val="auto"/>
          <w:spacing w:val="-3"/>
          <w:sz w:val="24"/>
          <w:highlight w:val="none"/>
        </w:rPr>
        <w:t>。</w:t>
      </w:r>
      <w:r>
        <w:rPr>
          <w:rFonts w:eastAsia="宋体" w:cs="Times New Roman"/>
          <w:color w:val="auto"/>
          <w:spacing w:val="-3"/>
          <w:sz w:val="24"/>
          <w:highlight w:val="none"/>
        </w:rPr>
        <w:t>2018年1月，北京国环建邦环保科技有限公司结合进一步验收监测结果编制完成500万吨/年炼油扩能改造项目竣工环保验收监测报告。</w:t>
      </w:r>
    </w:p>
    <w:p>
      <w:pPr>
        <w:spacing w:before="4" w:line="360" w:lineRule="auto"/>
        <w:ind w:left="31" w:right="76" w:firstLine="480"/>
        <w:rPr>
          <w:rFonts w:hint="eastAsia" w:ascii="宋体" w:hAnsi="宋体" w:eastAsia="宋体" w:cs="宋体"/>
        </w:rPr>
      </w:pPr>
      <w:r>
        <w:rPr>
          <w:rFonts w:hint="eastAsia" w:eastAsia="宋体" w:cs="Times New Roman"/>
          <w:color w:val="auto"/>
          <w:spacing w:val="-3"/>
          <w:sz w:val="24"/>
          <w:highlight w:val="none"/>
          <w:lang w:val="en-US" w:eastAsia="zh-CN"/>
        </w:rPr>
        <w:t>2023年</w:t>
      </w:r>
      <w:r>
        <w:rPr>
          <w:rFonts w:eastAsia="宋体" w:cs="Times New Roman"/>
          <w:color w:val="auto"/>
          <w:spacing w:val="-3"/>
          <w:sz w:val="24"/>
          <w:highlight w:val="none"/>
        </w:rPr>
        <w:t>内蒙古</w:t>
      </w:r>
      <w:r>
        <w:rPr>
          <w:rFonts w:hint="eastAsia" w:eastAsia="宋体" w:cs="Times New Roman"/>
          <w:color w:val="auto"/>
          <w:spacing w:val="-3"/>
          <w:sz w:val="24"/>
          <w:highlight w:val="none"/>
        </w:rPr>
        <w:t>信中生态环境技术有限</w:t>
      </w:r>
      <w:r>
        <w:rPr>
          <w:rFonts w:eastAsia="宋体" w:cs="Times New Roman"/>
          <w:color w:val="auto"/>
          <w:spacing w:val="-3"/>
          <w:sz w:val="24"/>
          <w:highlight w:val="none"/>
        </w:rPr>
        <w:t>公司</w:t>
      </w:r>
      <w:r>
        <w:rPr>
          <w:rFonts w:hint="eastAsia" w:eastAsia="宋体" w:cs="Times New Roman"/>
          <w:color w:val="auto"/>
          <w:spacing w:val="-3"/>
          <w:sz w:val="24"/>
          <w:highlight w:val="none"/>
          <w:lang w:eastAsia="zh-CN"/>
        </w:rPr>
        <w:t>编制完成《中国石油天然气股份有限公司呼和浩特石化分公司掺炼巴彦原油过渡改造项目</w:t>
      </w:r>
      <w:r>
        <w:rPr>
          <w:rFonts w:eastAsia="宋体" w:cs="Times New Roman"/>
          <w:color w:val="auto"/>
          <w:spacing w:val="-3"/>
          <w:sz w:val="24"/>
          <w:highlight w:val="none"/>
        </w:rPr>
        <w:t>环境影响报告书</w:t>
      </w:r>
      <w:r>
        <w:rPr>
          <w:rFonts w:hint="eastAsia" w:eastAsia="宋体" w:cs="Times New Roman"/>
          <w:color w:val="auto"/>
          <w:spacing w:val="-3"/>
          <w:sz w:val="24"/>
          <w:highlight w:val="none"/>
          <w:lang w:eastAsia="zh-CN"/>
        </w:rPr>
        <w:t>》；</w:t>
      </w:r>
      <w:r>
        <w:rPr>
          <w:rFonts w:hint="eastAsia" w:eastAsia="宋体" w:cs="Times New Roman"/>
          <w:color w:val="auto"/>
          <w:spacing w:val="-3"/>
          <w:sz w:val="24"/>
          <w:highlight w:val="none"/>
          <w:lang w:val="en-US" w:eastAsia="zh-CN"/>
        </w:rPr>
        <w:t>2023年4月7日</w:t>
      </w:r>
      <w:r>
        <w:rPr>
          <w:rFonts w:hint="eastAsia" w:eastAsia="宋体" w:cs="Times New Roman"/>
          <w:color w:val="auto"/>
          <w:spacing w:val="-3"/>
          <w:sz w:val="24"/>
          <w:highlight w:val="none"/>
          <w:lang w:eastAsia="zh-CN"/>
        </w:rPr>
        <w:t>呼和浩特市生态环境局以呼环政批字【</w:t>
      </w:r>
      <w:r>
        <w:rPr>
          <w:rFonts w:hint="eastAsia" w:eastAsia="宋体" w:cs="Times New Roman"/>
          <w:color w:val="auto"/>
          <w:spacing w:val="-3"/>
          <w:sz w:val="24"/>
          <w:highlight w:val="none"/>
          <w:lang w:val="en-US" w:eastAsia="zh-CN"/>
        </w:rPr>
        <w:t>2023</w:t>
      </w:r>
      <w:r>
        <w:rPr>
          <w:rFonts w:hint="eastAsia" w:eastAsia="宋体" w:cs="Times New Roman"/>
          <w:color w:val="auto"/>
          <w:spacing w:val="-3"/>
          <w:sz w:val="24"/>
          <w:highlight w:val="none"/>
          <w:lang w:eastAsia="zh-CN"/>
        </w:rPr>
        <w:t>】</w:t>
      </w:r>
      <w:r>
        <w:rPr>
          <w:rFonts w:hint="eastAsia" w:eastAsia="宋体" w:cs="Times New Roman"/>
          <w:color w:val="auto"/>
          <w:spacing w:val="-3"/>
          <w:sz w:val="24"/>
          <w:highlight w:val="none"/>
          <w:lang w:val="en-US" w:eastAsia="zh-CN"/>
        </w:rPr>
        <w:t>47号文予以批复。2024年1月26日，完成自主验收。</w:t>
      </w:r>
      <w:r>
        <w:rPr>
          <w:rFonts w:hint="eastAsia" w:ascii="宋体" w:hAnsi="宋体" w:eastAsia="宋体" w:cs="宋体"/>
        </w:rPr>
        <w:br w:type="page"/>
      </w:r>
    </w:p>
    <w:p>
      <w:pPr>
        <w:pStyle w:val="3"/>
        <w:bidi w:val="0"/>
        <w:rPr>
          <w:rFonts w:hint="eastAsia" w:ascii="宋体" w:hAnsi="宋体" w:eastAsia="宋体" w:cs="宋体"/>
        </w:rPr>
      </w:pPr>
      <w:bookmarkStart w:id="3" w:name="_Toc8687"/>
      <w:bookmarkStart w:id="4" w:name="_Toc27426"/>
      <w:bookmarkStart w:id="5" w:name="_Toc479063264"/>
      <w:bookmarkStart w:id="6" w:name="_Toc29300"/>
      <w:bookmarkStart w:id="7" w:name="_Toc12261"/>
      <w:bookmarkStart w:id="8" w:name="_Toc6566"/>
      <w:bookmarkStart w:id="9" w:name="_Toc5441"/>
      <w:bookmarkStart w:id="10" w:name="_Toc20156"/>
      <w:bookmarkStart w:id="11" w:name="_Toc232"/>
      <w:bookmarkStart w:id="12" w:name="_Toc2958_WPSOffice_Level1"/>
      <w:bookmarkStart w:id="13" w:name="_Toc17082_WPSOffice_Level1"/>
      <w:r>
        <w:rPr>
          <w:rFonts w:hint="eastAsia" w:ascii="宋体" w:hAnsi="宋体" w:eastAsia="宋体" w:cs="宋体"/>
        </w:rPr>
        <w:t>2总则</w:t>
      </w:r>
      <w:bookmarkEnd w:id="3"/>
      <w:bookmarkEnd w:id="4"/>
      <w:bookmarkEnd w:id="5"/>
      <w:bookmarkEnd w:id="6"/>
      <w:bookmarkEnd w:id="7"/>
      <w:bookmarkEnd w:id="8"/>
      <w:bookmarkEnd w:id="9"/>
      <w:bookmarkEnd w:id="10"/>
      <w:bookmarkEnd w:id="11"/>
      <w:bookmarkEnd w:id="12"/>
      <w:bookmarkEnd w:id="13"/>
    </w:p>
    <w:p>
      <w:pPr>
        <w:pStyle w:val="4"/>
        <w:bidi w:val="0"/>
        <w:outlineLvl w:val="1"/>
        <w:rPr>
          <w:rFonts w:hint="eastAsia" w:ascii="宋体" w:hAnsi="宋体" w:eastAsia="宋体" w:cs="宋体"/>
        </w:rPr>
      </w:pPr>
      <w:bookmarkStart w:id="14" w:name="_Toc22770"/>
      <w:bookmarkStart w:id="15" w:name="_Toc8260"/>
      <w:bookmarkStart w:id="16" w:name="_Toc479063265"/>
      <w:bookmarkStart w:id="17" w:name="_Toc4818"/>
      <w:bookmarkStart w:id="18" w:name="_Toc5117"/>
      <w:bookmarkStart w:id="19" w:name="_Toc16229"/>
      <w:bookmarkStart w:id="20" w:name="_Toc4286_WPSOffice_Level1"/>
      <w:bookmarkStart w:id="21" w:name="_Toc18741"/>
      <w:bookmarkStart w:id="22" w:name="_Toc9053"/>
      <w:bookmarkStart w:id="23" w:name="_Toc1095_WPSOffice_Level1"/>
      <w:bookmarkStart w:id="24" w:name="_Toc26131"/>
      <w:r>
        <w:rPr>
          <w:rFonts w:hint="eastAsia" w:ascii="宋体" w:hAnsi="宋体" w:eastAsia="宋体" w:cs="宋体"/>
        </w:rPr>
        <w:t>2.1编制原则</w:t>
      </w:r>
      <w:bookmarkEnd w:id="14"/>
      <w:bookmarkEnd w:id="15"/>
      <w:bookmarkEnd w:id="16"/>
      <w:bookmarkEnd w:id="17"/>
      <w:bookmarkEnd w:id="18"/>
      <w:bookmarkEnd w:id="19"/>
      <w:bookmarkEnd w:id="20"/>
      <w:bookmarkEnd w:id="21"/>
      <w:bookmarkEnd w:id="22"/>
      <w:bookmarkEnd w:id="23"/>
      <w:bookmarkEnd w:id="24"/>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（1）实事求是，基于企业实际生产情况及相关资料，对企业内部可能存在环境风险的环节逐一排查；</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（2）突出重点，识别企业设备、原辅材料风险，分析企业现有环境风险防控和应急措施情况，制定完善环境风险防控和应急措施的实施计划；</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（3）科学规范，严格按照《企业突发环境事件风险评估指南（试行）》的要求分析，并编制评估报告。</w:t>
      </w:r>
    </w:p>
    <w:p>
      <w:pPr>
        <w:pStyle w:val="4"/>
        <w:bidi w:val="0"/>
        <w:outlineLvl w:val="1"/>
        <w:rPr>
          <w:rFonts w:hint="eastAsia" w:ascii="宋体" w:hAnsi="宋体" w:eastAsia="宋体" w:cs="宋体"/>
        </w:rPr>
      </w:pPr>
      <w:bookmarkStart w:id="25" w:name="_Toc479063266"/>
      <w:bookmarkStart w:id="26" w:name="_Toc8102"/>
      <w:bookmarkStart w:id="27" w:name="_Toc31781"/>
      <w:bookmarkStart w:id="28" w:name="_Toc18916"/>
      <w:bookmarkStart w:id="29" w:name="_Toc30912"/>
      <w:bookmarkStart w:id="30" w:name="_Toc5762_WPSOffice_Level1"/>
      <w:bookmarkStart w:id="31" w:name="_Toc3690"/>
      <w:bookmarkStart w:id="32" w:name="_Toc10272"/>
      <w:bookmarkStart w:id="33" w:name="_Toc16217"/>
      <w:bookmarkStart w:id="34" w:name="_Toc19862"/>
      <w:bookmarkStart w:id="35" w:name="_Toc19241_WPSOffice_Level1"/>
      <w:r>
        <w:rPr>
          <w:rFonts w:hint="eastAsia" w:ascii="宋体" w:hAnsi="宋体" w:eastAsia="宋体" w:cs="宋体"/>
        </w:rPr>
        <w:t>2.2编制依据</w:t>
      </w:r>
      <w:bookmarkEnd w:id="25"/>
      <w:bookmarkEnd w:id="26"/>
      <w:bookmarkEnd w:id="27"/>
      <w:bookmarkEnd w:id="28"/>
      <w:bookmarkEnd w:id="29"/>
      <w:bookmarkEnd w:id="30"/>
      <w:bookmarkEnd w:id="31"/>
      <w:bookmarkEnd w:id="32"/>
      <w:bookmarkEnd w:id="33"/>
      <w:bookmarkEnd w:id="34"/>
      <w:bookmarkEnd w:id="35"/>
    </w:p>
    <w:p>
      <w:pPr>
        <w:pStyle w:val="5"/>
        <w:bidi w:val="0"/>
        <w:rPr>
          <w:rFonts w:hint="eastAsia" w:ascii="宋体" w:hAnsi="宋体" w:eastAsia="宋体" w:cs="宋体"/>
        </w:rPr>
      </w:pPr>
      <w:bookmarkStart w:id="36" w:name="_Toc478820571"/>
      <w:bookmarkStart w:id="37" w:name="_Toc8004"/>
      <w:bookmarkStart w:id="38" w:name="_Toc10699"/>
      <w:bookmarkStart w:id="39" w:name="_Toc2305"/>
      <w:bookmarkStart w:id="40" w:name="_Toc6747"/>
      <w:bookmarkStart w:id="41" w:name="_Toc29823"/>
      <w:bookmarkStart w:id="42" w:name="_Toc5914"/>
      <w:bookmarkStart w:id="43" w:name="_Toc16214"/>
      <w:bookmarkStart w:id="44" w:name="_Toc7329"/>
      <w:r>
        <w:rPr>
          <w:rFonts w:hint="eastAsia" w:ascii="宋体" w:hAnsi="宋体" w:eastAsia="宋体" w:cs="宋体"/>
          <w:lang w:val="en-US" w:eastAsia="zh-CN"/>
        </w:rPr>
        <w:t>2.2</w:t>
      </w:r>
      <w:r>
        <w:rPr>
          <w:rFonts w:hint="eastAsia" w:ascii="宋体" w:hAnsi="宋体" w:eastAsia="宋体" w:cs="宋体"/>
        </w:rPr>
        <w:t>.1相关法律</w:t>
      </w:r>
      <w:bookmarkEnd w:id="36"/>
      <w:bookmarkEnd w:id="37"/>
      <w:bookmarkEnd w:id="38"/>
      <w:bookmarkEnd w:id="39"/>
      <w:bookmarkEnd w:id="40"/>
      <w:bookmarkEnd w:id="41"/>
      <w:bookmarkEnd w:id="42"/>
      <w:bookmarkEnd w:id="43"/>
      <w:bookmarkEnd w:id="44"/>
    </w:p>
    <w:p>
      <w:pPr>
        <w:pStyle w:val="9"/>
        <w:spacing w:line="360" w:lineRule="auto"/>
        <w:ind w:firstLine="512" w:firstLineChars="200"/>
        <w:rPr>
          <w:rFonts w:hint="default" w:ascii="Times New Roman" w:hAnsi="Times New Roman"/>
        </w:rPr>
      </w:pPr>
      <w:bookmarkStart w:id="45" w:name="_Toc23935"/>
      <w:bookmarkStart w:id="46" w:name="_Toc15926"/>
      <w:bookmarkStart w:id="47" w:name="_Toc18121"/>
      <w:bookmarkStart w:id="48" w:name="_Toc26350"/>
      <w:bookmarkStart w:id="49" w:name="_Toc16571"/>
      <w:bookmarkStart w:id="50" w:name="_Toc22712"/>
      <w:bookmarkStart w:id="51" w:name="_Toc1036"/>
      <w:bookmarkStart w:id="52" w:name="_Toc26178"/>
      <w:bookmarkStart w:id="53" w:name="_Toc3053"/>
      <w:bookmarkStart w:id="54" w:name="_Toc478820572"/>
      <w:bookmarkStart w:id="55" w:name="_Toc22037"/>
      <w:r>
        <w:rPr>
          <w:rFonts w:ascii="Times New Roman" w:hAnsi="Times New Roman"/>
        </w:rPr>
        <w:t>（1）</w:t>
      </w:r>
      <w:r>
        <w:rPr>
          <w:rFonts w:hint="default" w:ascii="Times New Roman" w:hAnsi="Times New Roman"/>
        </w:rPr>
        <w:t>《中华人民共和国环境保护法》，</w:t>
      </w:r>
      <w:r>
        <w:rPr>
          <w:rFonts w:hint="default" w:ascii="Times New Roman" w:hAnsi="Times New Roman" w:eastAsia="Times New Roman"/>
        </w:rPr>
        <w:t>2015.</w:t>
      </w:r>
      <w:r>
        <w:rPr>
          <w:rFonts w:ascii="Times New Roman" w:hAnsi="Times New Roman"/>
        </w:rPr>
        <w:t>0</w:t>
      </w:r>
      <w:r>
        <w:rPr>
          <w:rFonts w:hint="default" w:ascii="Times New Roman" w:hAnsi="Times New Roman" w:eastAsia="Times New Roman"/>
        </w:rPr>
        <w:t>1.</w:t>
      </w:r>
      <w:r>
        <w:rPr>
          <w:rFonts w:ascii="Times New Roman" w:hAnsi="Times New Roman"/>
        </w:rPr>
        <w:t>0</w:t>
      </w:r>
      <w:r>
        <w:rPr>
          <w:rFonts w:hint="default" w:ascii="Times New Roman" w:hAnsi="Times New Roman" w:eastAsia="Times New Roman"/>
        </w:rPr>
        <w:t>1</w:t>
      </w:r>
      <w:r>
        <w:rPr>
          <w:rFonts w:hint="default" w:ascii="Times New Roman" w:hAnsi="Times New Roman"/>
        </w:rPr>
        <w:t>；</w:t>
      </w:r>
    </w:p>
    <w:p>
      <w:pPr>
        <w:pStyle w:val="9"/>
        <w:spacing w:line="360" w:lineRule="auto"/>
        <w:ind w:firstLine="512" w:firstLineChars="200"/>
        <w:rPr>
          <w:rFonts w:ascii="Times New Roman" w:hAnsi="Times New Roman"/>
        </w:rPr>
      </w:pPr>
      <w:r>
        <w:rPr>
          <w:rFonts w:ascii="Times New Roman" w:hAnsi="Times New Roman"/>
        </w:rPr>
        <w:t>（</w:t>
      </w:r>
      <w:r>
        <w:rPr>
          <w:rFonts w:hint="eastAsia" w:ascii="Times New Roman" w:hAnsi="Times New Roman"/>
          <w:lang w:val="en-US" w:eastAsia="zh-CN"/>
        </w:rPr>
        <w:t>2</w:t>
      </w:r>
      <w:r>
        <w:rPr>
          <w:rFonts w:ascii="Times New Roman" w:hAnsi="Times New Roman"/>
        </w:rPr>
        <w:t>）</w:t>
      </w:r>
      <w:r>
        <w:rPr>
          <w:rFonts w:hint="default" w:ascii="Times New Roman" w:hAnsi="Times New Roman"/>
        </w:rPr>
        <w:t>《中华人民共和国大气污染防治法》，</w:t>
      </w:r>
      <w:r>
        <w:rPr>
          <w:rFonts w:hint="default" w:ascii="Times New Roman" w:hAnsi="Times New Roman" w:eastAsia="Times New Roman"/>
        </w:rPr>
        <w:t>201</w:t>
      </w:r>
      <w:r>
        <w:rPr>
          <w:rFonts w:ascii="Times New Roman" w:hAnsi="Times New Roman"/>
        </w:rPr>
        <w:t>8</w:t>
      </w:r>
      <w:r>
        <w:rPr>
          <w:rFonts w:hint="default" w:ascii="Times New Roman" w:hAnsi="Times New Roman" w:eastAsia="Times New Roman"/>
        </w:rPr>
        <w:t>.</w:t>
      </w:r>
      <w:r>
        <w:rPr>
          <w:rFonts w:ascii="Times New Roman" w:hAnsi="Times New Roman"/>
        </w:rPr>
        <w:t>10</w:t>
      </w:r>
      <w:r>
        <w:rPr>
          <w:rFonts w:hint="default" w:ascii="Times New Roman" w:hAnsi="Times New Roman" w:eastAsia="Times New Roman"/>
        </w:rPr>
        <w:t>.</w:t>
      </w:r>
      <w:r>
        <w:rPr>
          <w:rFonts w:ascii="Times New Roman" w:hAnsi="Times New Roman"/>
        </w:rPr>
        <w:t>26；</w:t>
      </w:r>
    </w:p>
    <w:p>
      <w:pPr>
        <w:pStyle w:val="9"/>
        <w:spacing w:line="360" w:lineRule="auto"/>
        <w:ind w:firstLine="512" w:firstLineChars="200"/>
        <w:rPr>
          <w:rFonts w:hint="default" w:ascii="Times New Roman" w:hAnsi="Times New Roman"/>
        </w:rPr>
      </w:pPr>
      <w:r>
        <w:rPr>
          <w:rFonts w:hint="default" w:ascii="Times New Roman" w:hAnsi="Times New Roman"/>
        </w:rPr>
        <w:t>（</w:t>
      </w:r>
      <w:r>
        <w:rPr>
          <w:rFonts w:hint="eastAsia" w:ascii="Times New Roman" w:hAnsi="Times New Roman"/>
          <w:lang w:val="en-US" w:eastAsia="zh-CN"/>
        </w:rPr>
        <w:t>3</w:t>
      </w:r>
      <w:r>
        <w:rPr>
          <w:rFonts w:hint="default" w:ascii="Times New Roman" w:hAnsi="Times New Roman"/>
        </w:rPr>
        <w:t>）《中华人民共和国水污染防治法》，2018.01.01；</w:t>
      </w:r>
    </w:p>
    <w:p>
      <w:pPr>
        <w:pStyle w:val="9"/>
        <w:spacing w:line="360" w:lineRule="auto"/>
        <w:ind w:firstLine="512" w:firstLineChars="200"/>
        <w:rPr>
          <w:rFonts w:hint="default" w:ascii="Times New Roman" w:hAnsi="Times New Roman"/>
        </w:rPr>
      </w:pPr>
      <w:r>
        <w:rPr>
          <w:rFonts w:hint="default" w:ascii="Times New Roman" w:hAnsi="Times New Roman"/>
        </w:rPr>
        <w:t>（</w:t>
      </w:r>
      <w:r>
        <w:rPr>
          <w:rFonts w:hint="eastAsia" w:ascii="Times New Roman" w:hAnsi="Times New Roman"/>
          <w:lang w:val="en-US" w:eastAsia="zh-CN"/>
        </w:rPr>
        <w:t>4</w:t>
      </w:r>
      <w:r>
        <w:rPr>
          <w:rFonts w:hint="default" w:ascii="Times New Roman" w:hAnsi="Times New Roman"/>
        </w:rPr>
        <w:t>）《中华人民共和国环境噪声污染防治法》，</w:t>
      </w:r>
      <w:r>
        <w:rPr>
          <w:rFonts w:hint="eastAsia" w:ascii="Times New Roman" w:hAnsi="Times New Roman"/>
          <w:lang w:val="en-US" w:eastAsia="zh-CN"/>
        </w:rPr>
        <w:t>2022.06.05</w:t>
      </w:r>
      <w:r>
        <w:rPr>
          <w:rFonts w:hint="default" w:ascii="Times New Roman" w:hAnsi="Times New Roman"/>
        </w:rPr>
        <w:t>；</w:t>
      </w:r>
    </w:p>
    <w:p>
      <w:pPr>
        <w:pStyle w:val="9"/>
        <w:spacing w:line="360" w:lineRule="auto"/>
        <w:ind w:firstLine="512" w:firstLineChars="200"/>
        <w:rPr>
          <w:rFonts w:hint="default" w:ascii="Times New Roman" w:hAnsi="Times New Roman"/>
        </w:rPr>
      </w:pPr>
      <w:r>
        <w:rPr>
          <w:rFonts w:hint="default" w:ascii="Times New Roman" w:hAnsi="Times New Roman"/>
        </w:rPr>
        <w:t>（</w:t>
      </w:r>
      <w:r>
        <w:rPr>
          <w:rFonts w:hint="eastAsia" w:ascii="Times New Roman" w:hAnsi="Times New Roman"/>
          <w:lang w:val="en-US" w:eastAsia="zh-CN"/>
        </w:rPr>
        <w:t>5</w:t>
      </w:r>
      <w:r>
        <w:rPr>
          <w:rFonts w:hint="default" w:ascii="Times New Roman" w:hAnsi="Times New Roman"/>
        </w:rPr>
        <w:t>）《中华人民共和国固体废物污染环境防治法》，2020年4月29日修订，2020.9.1；</w:t>
      </w:r>
    </w:p>
    <w:p>
      <w:pPr>
        <w:pStyle w:val="9"/>
        <w:spacing w:line="360" w:lineRule="auto"/>
        <w:ind w:firstLine="512" w:firstLineChars="200"/>
        <w:rPr>
          <w:rFonts w:hint="default" w:ascii="Times New Roman" w:hAnsi="Times New Roman"/>
          <w:lang w:eastAsia="zh-CN"/>
        </w:rPr>
      </w:pPr>
      <w:r>
        <w:rPr>
          <w:rFonts w:hint="default" w:ascii="Times New Roman" w:hAnsi="Times New Roman"/>
        </w:rPr>
        <w:t>（</w:t>
      </w:r>
      <w:r>
        <w:rPr>
          <w:rFonts w:hint="eastAsia" w:ascii="Times New Roman" w:hAnsi="Times New Roman"/>
          <w:lang w:val="en-US" w:eastAsia="zh-CN"/>
        </w:rPr>
        <w:t>6</w:t>
      </w:r>
      <w:r>
        <w:rPr>
          <w:rFonts w:hint="default" w:ascii="Times New Roman" w:hAnsi="Times New Roman"/>
        </w:rPr>
        <w:t>）《中华人民共和国安全生产法》20</w:t>
      </w:r>
      <w:r>
        <w:rPr>
          <w:rFonts w:hint="eastAsia" w:ascii="Times New Roman" w:hAnsi="Times New Roman"/>
          <w:lang w:val="en-US" w:eastAsia="zh-CN"/>
        </w:rPr>
        <w:t>21</w:t>
      </w:r>
      <w:r>
        <w:rPr>
          <w:rFonts w:hint="default" w:ascii="Times New Roman" w:hAnsi="Times New Roman"/>
        </w:rPr>
        <w:t>.</w:t>
      </w:r>
      <w:r>
        <w:rPr>
          <w:rFonts w:hint="eastAsia" w:ascii="Times New Roman" w:hAnsi="Times New Roman"/>
          <w:lang w:val="en-US" w:eastAsia="zh-CN"/>
        </w:rPr>
        <w:t>9</w:t>
      </w:r>
      <w:r>
        <w:rPr>
          <w:rFonts w:hint="default" w:ascii="Times New Roman" w:hAnsi="Times New Roman"/>
        </w:rPr>
        <w:t>.1</w:t>
      </w:r>
    </w:p>
    <w:p>
      <w:pPr>
        <w:pStyle w:val="9"/>
        <w:spacing w:line="360" w:lineRule="auto"/>
        <w:ind w:firstLine="512" w:firstLineChars="200"/>
        <w:rPr>
          <w:rFonts w:hint="default" w:ascii="Times New Roman" w:hAnsi="Times New Roman"/>
        </w:rPr>
      </w:pPr>
      <w:r>
        <w:rPr>
          <w:rFonts w:hint="default" w:ascii="Times New Roman" w:hAnsi="Times New Roman"/>
        </w:rPr>
        <w:t>（</w:t>
      </w:r>
      <w:r>
        <w:rPr>
          <w:rFonts w:hint="eastAsia" w:ascii="Times New Roman" w:hAnsi="Times New Roman"/>
          <w:lang w:val="en-US" w:eastAsia="zh-CN"/>
        </w:rPr>
        <w:t>7</w:t>
      </w:r>
      <w:r>
        <w:rPr>
          <w:rFonts w:hint="default" w:ascii="Times New Roman" w:hAnsi="Times New Roman"/>
        </w:rPr>
        <w:t>）《中华人民共和国突发事件应对法》2007.11.1</w:t>
      </w:r>
    </w:p>
    <w:p>
      <w:pPr>
        <w:pStyle w:val="5"/>
        <w:bidi w:val="0"/>
        <w:rPr>
          <w:rFonts w:hint="eastAsia" w:ascii="宋体" w:hAnsi="宋体" w:eastAsia="宋体" w:cs="宋体"/>
        </w:rPr>
      </w:pPr>
      <w:bookmarkStart w:id="56" w:name="_Toc25971"/>
      <w:r>
        <w:rPr>
          <w:rFonts w:hint="eastAsia" w:ascii="宋体" w:hAnsi="宋体" w:eastAsia="宋体" w:cs="宋体"/>
          <w:lang w:val="en-US" w:eastAsia="zh-CN"/>
        </w:rPr>
        <w:t>2</w:t>
      </w:r>
      <w:r>
        <w:rPr>
          <w:rFonts w:hint="eastAsia" w:ascii="宋体" w:hAnsi="宋体" w:eastAsia="宋体" w:cs="宋体"/>
        </w:rPr>
        <w:t>.2.2相关法规及规章</w:t>
      </w:r>
      <w:bookmarkEnd w:id="45"/>
      <w:bookmarkEnd w:id="46"/>
      <w:bookmarkEnd w:id="47"/>
      <w:bookmarkEnd w:id="48"/>
      <w:bookmarkEnd w:id="49"/>
      <w:bookmarkEnd w:id="50"/>
      <w:bookmarkEnd w:id="51"/>
      <w:bookmarkEnd w:id="52"/>
      <w:bookmarkEnd w:id="53"/>
      <w:bookmarkEnd w:id="56"/>
    </w:p>
    <w:bookmarkEnd w:id="54"/>
    <w:bookmarkEnd w:id="55"/>
    <w:p>
      <w:pPr>
        <w:pStyle w:val="10"/>
        <w:spacing w:line="360" w:lineRule="auto"/>
        <w:ind w:firstLine="482"/>
        <w:rPr>
          <w:rFonts w:hint="default" w:ascii="Times New Roman" w:hAnsi="Times New Roman" w:eastAsia="宋体" w:cs="Times New Roman"/>
          <w:sz w:val="24"/>
        </w:rPr>
      </w:pPr>
      <w:bookmarkStart w:id="57" w:name="_Toc18431"/>
      <w:bookmarkStart w:id="58" w:name="_Toc478820573"/>
      <w:bookmarkStart w:id="59" w:name="_Toc19669"/>
      <w:bookmarkStart w:id="60" w:name="_Toc29521"/>
      <w:bookmarkStart w:id="61" w:name="_Toc27242"/>
      <w:bookmarkStart w:id="62" w:name="_Toc12978"/>
      <w:bookmarkStart w:id="63" w:name="_Toc15130"/>
      <w:bookmarkStart w:id="64" w:name="_Toc23193"/>
      <w:r>
        <w:rPr>
          <w:rFonts w:hint="default" w:ascii="Times New Roman" w:hAnsi="Times New Roman" w:eastAsia="宋体" w:cs="Times New Roman"/>
          <w:sz w:val="24"/>
        </w:rPr>
        <w:t>（1）《危险化学品安全管理条例》（国务院令第591号）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（2）《使用有毒物品作业场所劳动保护条例》（国务院令第352号）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（3）《特种设备安全监察条例》（国务院令第549号）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（4）《生产安全事故报告和调查处理条例》（国务院令第493号）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（5）《突发环境事件信息报告办法》（环境保护部令第17号）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（6）《危险化学品重大危险源监督管理暂行规定》（安全监管总局令第40号）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（7）《危险化学品生产企业安全生产许可证实施办法》（安全监管总局令第41号）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（8）《危险化学品建设项目安全监督管理办法》（安全监管总局令第45号）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ascii="Times New Roman" w:hAnsi="Times New Roman" w:cs="Times New Roman"/>
          <w:sz w:val="24"/>
          <w:lang w:val="en-US" w:eastAsia="zh-CN"/>
        </w:rPr>
        <w:t>9</w:t>
      </w:r>
      <w:r>
        <w:rPr>
          <w:rFonts w:hint="default" w:ascii="Times New Roman" w:hAnsi="Times New Roman" w:eastAsia="宋体" w:cs="Times New Roman"/>
          <w:sz w:val="24"/>
        </w:rPr>
        <w:t>）《重点监管危险化工工艺目录》(201</w:t>
      </w:r>
      <w:r>
        <w:rPr>
          <w:rFonts w:hint="eastAsia" w:ascii="Times New Roman" w:hAnsi="Times New Roman" w:cs="Times New Roman"/>
          <w:sz w:val="24"/>
          <w:lang w:val="en-US" w:eastAsia="zh-CN"/>
        </w:rPr>
        <w:t>6</w:t>
      </w:r>
      <w:r>
        <w:rPr>
          <w:rFonts w:hint="default" w:ascii="Times New Roman" w:hAnsi="Times New Roman" w:eastAsia="宋体" w:cs="Times New Roman"/>
          <w:sz w:val="24"/>
        </w:rPr>
        <w:t>年完整版)；</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（1</w:t>
      </w:r>
      <w:r>
        <w:rPr>
          <w:rFonts w:hint="eastAsia" w:ascii="Times New Roman" w:hAnsi="Times New Roman" w:cs="Times New Roman"/>
          <w:sz w:val="24"/>
          <w:lang w:val="en-US" w:eastAsia="zh-CN"/>
        </w:rPr>
        <w:t>0</w:t>
      </w:r>
      <w:r>
        <w:rPr>
          <w:rFonts w:hint="default" w:ascii="Times New Roman" w:hAnsi="Times New Roman" w:eastAsia="宋体" w:cs="Times New Roman"/>
          <w:sz w:val="24"/>
        </w:rPr>
        <w:t>）《关于督促化工企业切实做好几项安全环保重点工作的紧急通知》（安监总危化〔2006〕10号）。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（1</w:t>
      </w:r>
      <w:r>
        <w:rPr>
          <w:rFonts w:hint="eastAsia" w:ascii="Times New Roman" w:hAnsi="Times New Roman" w:cs="Times New Roman"/>
          <w:sz w:val="24"/>
          <w:lang w:val="en-US" w:eastAsia="zh-CN"/>
        </w:rPr>
        <w:t>1</w:t>
      </w:r>
      <w:r>
        <w:rPr>
          <w:rFonts w:hint="default" w:ascii="Times New Roman" w:hAnsi="Times New Roman" w:eastAsia="宋体" w:cs="Times New Roman"/>
          <w:sz w:val="24"/>
        </w:rPr>
        <w:t>）《事故状态下水体污染的预防与控制技术要求》（中国石油企业标准Q/SY119或0483-8695311-80580-2013）；</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（1</w:t>
      </w:r>
      <w:r>
        <w:rPr>
          <w:rFonts w:hint="eastAsia" w:ascii="Times New Roman" w:hAnsi="Times New Roman" w:cs="Times New Roman"/>
          <w:sz w:val="24"/>
          <w:lang w:val="en-US" w:eastAsia="zh-CN"/>
        </w:rPr>
        <w:t>2</w:t>
      </w:r>
      <w:r>
        <w:rPr>
          <w:rFonts w:hint="default" w:ascii="Times New Roman" w:hAnsi="Times New Roman" w:eastAsia="宋体" w:cs="Times New Roman"/>
          <w:sz w:val="24"/>
        </w:rPr>
        <w:t>）《水体污染事故风险预防与控制措施运行管理要求》（中国石油企业标准Q/SY1310-201</w:t>
      </w:r>
      <w:r>
        <w:rPr>
          <w:rFonts w:hint="eastAsia" w:ascii="Times New Roman" w:hAnsi="Times New Roman" w:cs="Times New Roman"/>
          <w:sz w:val="24"/>
          <w:lang w:val="en-US" w:eastAsia="zh-CN"/>
        </w:rPr>
        <w:t>1</w:t>
      </w:r>
      <w:r>
        <w:rPr>
          <w:rFonts w:hint="default" w:ascii="Times New Roman" w:hAnsi="Times New Roman" w:eastAsia="宋体" w:cs="Times New Roman"/>
          <w:sz w:val="24"/>
        </w:rPr>
        <w:t>）。</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（1</w:t>
      </w:r>
      <w:r>
        <w:rPr>
          <w:rFonts w:hint="eastAsia" w:ascii="Times New Roman" w:hAnsi="Times New Roman" w:eastAsia="宋体" w:cs="Times New Roman"/>
          <w:sz w:val="24"/>
          <w:lang w:val="en-US" w:eastAsia="zh-CN"/>
        </w:rPr>
        <w:t>3</w:t>
      </w:r>
      <w:r>
        <w:rPr>
          <w:rFonts w:hint="default" w:ascii="Times New Roman" w:hAnsi="Times New Roman" w:eastAsia="宋体" w:cs="Times New Roman"/>
          <w:sz w:val="24"/>
        </w:rPr>
        <w:t>）《国家突发环境事件应急预案》国办函〔2014〕119号；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（1</w:t>
      </w:r>
      <w:r>
        <w:rPr>
          <w:rFonts w:hint="eastAsia" w:ascii="Times New Roman" w:hAnsi="Times New Roman" w:eastAsia="宋体" w:cs="Times New Roman"/>
          <w:sz w:val="24"/>
          <w:lang w:val="en-US" w:eastAsia="zh-CN"/>
        </w:rPr>
        <w:t>4</w:t>
      </w:r>
      <w:r>
        <w:rPr>
          <w:rFonts w:hint="default" w:ascii="Times New Roman" w:hAnsi="Times New Roman" w:eastAsia="宋体" w:cs="Times New Roman"/>
          <w:sz w:val="24"/>
        </w:rPr>
        <w:t>）</w:t>
      </w:r>
      <w:r>
        <w:rPr>
          <w:rFonts w:hint="eastAsia" w:ascii="Times New Roman" w:hAnsi="Times New Roman" w:eastAsia="宋体" w:cs="Times New Roman"/>
          <w:sz w:val="24"/>
        </w:rPr>
        <w:t>《企业事业单位突发环境事件应急预案备案管理办法（试行）》的通知，环发〔2015〕4号</w:t>
      </w:r>
      <w:r>
        <w:rPr>
          <w:rFonts w:hint="default" w:ascii="Times New Roman" w:hAnsi="Times New Roman" w:eastAsia="宋体" w:cs="Times New Roman"/>
          <w:sz w:val="24"/>
        </w:rPr>
        <w:t>；</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（1</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rPr>
        <w:t>）《突发环境事件信息报告办法》（环境保护部令第17号）；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（1</w:t>
      </w:r>
      <w:r>
        <w:rPr>
          <w:rFonts w:hint="eastAsia" w:ascii="Times New Roman" w:hAnsi="Times New Roman" w:eastAsia="宋体" w:cs="Times New Roman"/>
          <w:sz w:val="24"/>
          <w:lang w:val="en-US" w:eastAsia="zh-CN"/>
        </w:rPr>
        <w:t>6</w:t>
      </w:r>
      <w:r>
        <w:rPr>
          <w:rFonts w:hint="default" w:ascii="Times New Roman" w:hAnsi="Times New Roman" w:eastAsia="宋体" w:cs="Times New Roman"/>
          <w:sz w:val="24"/>
        </w:rPr>
        <w:t>）《突发环境事件应急管理办法》（环境保护部令 第34号 ）；</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（1</w:t>
      </w:r>
      <w:r>
        <w:rPr>
          <w:rFonts w:hint="eastAsia" w:ascii="Times New Roman" w:hAnsi="Times New Roman" w:eastAsia="宋体" w:cs="Times New Roman"/>
          <w:sz w:val="24"/>
          <w:lang w:val="en-US" w:eastAsia="zh-CN"/>
        </w:rPr>
        <w:t>7</w:t>
      </w:r>
      <w:r>
        <w:rPr>
          <w:rFonts w:hint="default" w:ascii="Times New Roman" w:hAnsi="Times New Roman" w:eastAsia="宋体" w:cs="Times New Roman"/>
          <w:sz w:val="24"/>
        </w:rPr>
        <w:t>）《突发事件应急预案管理办法》（国办发【2013】101号）；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（1</w:t>
      </w:r>
      <w:r>
        <w:rPr>
          <w:rFonts w:hint="eastAsia" w:ascii="Times New Roman" w:hAnsi="Times New Roman" w:cs="Times New Roman"/>
          <w:sz w:val="24"/>
          <w:lang w:val="en-US" w:eastAsia="zh-CN"/>
        </w:rPr>
        <w:t>8</w:t>
      </w:r>
      <w:r>
        <w:rPr>
          <w:rFonts w:hint="default" w:ascii="Times New Roman" w:hAnsi="Times New Roman" w:eastAsia="宋体" w:cs="Times New Roman"/>
          <w:sz w:val="24"/>
        </w:rPr>
        <w:t>）《企业事业单位突发环境事件应急预案评审工作指南（试行）》（环办应急【2018】8号）；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rPr>
        <w:t>（</w:t>
      </w:r>
      <w:r>
        <w:rPr>
          <w:rFonts w:hint="eastAsia" w:ascii="Times New Roman" w:hAnsi="Times New Roman" w:cs="Times New Roman"/>
          <w:sz w:val="24"/>
          <w:lang w:val="en-US" w:eastAsia="zh-CN"/>
        </w:rPr>
        <w:t>19</w:t>
      </w:r>
      <w:r>
        <w:rPr>
          <w:rFonts w:hint="default" w:ascii="Times New Roman" w:hAnsi="Times New Roman" w:eastAsia="宋体" w:cs="Times New Roman"/>
          <w:sz w:val="24"/>
        </w:rPr>
        <w:t>）《企业突发环境事件风险分级方法》HJ941-2018。</w:t>
      </w:r>
    </w:p>
    <w:p>
      <w:pPr>
        <w:pStyle w:val="10"/>
        <w:spacing w:line="360" w:lineRule="auto"/>
        <w:ind w:firstLine="482"/>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w:t>
      </w:r>
      <w:r>
        <w:rPr>
          <w:rFonts w:hint="eastAsia" w:ascii="Times New Roman" w:hAnsi="Times New Roman" w:cs="Times New Roman"/>
          <w:sz w:val="24"/>
          <w:lang w:val="en-US" w:eastAsia="zh-CN"/>
        </w:rPr>
        <w:t>0</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《危险化学品名录》</w:t>
      </w:r>
      <w:r>
        <w:rPr>
          <w:rFonts w:hint="default" w:ascii="Times New Roman" w:hAnsi="Times New Roman" w:eastAsia="宋体" w:cs="Times New Roman"/>
          <w:sz w:val="24"/>
          <w:lang w:val="en-US" w:eastAsia="zh-CN"/>
        </w:rPr>
        <w:t>2018版</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w:t>
      </w:r>
      <w:r>
        <w:rPr>
          <w:rFonts w:hint="eastAsia" w:ascii="Times New Roman" w:hAnsi="Times New Roman" w:cs="Times New Roman"/>
          <w:sz w:val="24"/>
          <w:lang w:val="en-US" w:eastAsia="zh-CN"/>
        </w:rPr>
        <w:t>1</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《国家危险废物名录》20</w:t>
      </w:r>
      <w:r>
        <w:rPr>
          <w:rFonts w:hint="eastAsia" w:ascii="Times New Roman" w:hAnsi="Times New Roman" w:cs="Times New Roman"/>
          <w:sz w:val="24"/>
          <w:lang w:val="en-US" w:eastAsia="zh-CN"/>
        </w:rPr>
        <w:t>20</w:t>
      </w:r>
      <w:r>
        <w:rPr>
          <w:rFonts w:hint="default" w:ascii="Times New Roman" w:hAnsi="Times New Roman" w:eastAsia="宋体" w:cs="Times New Roman"/>
          <w:sz w:val="24"/>
        </w:rPr>
        <w:t>年</w:t>
      </w:r>
      <w:r>
        <w:rPr>
          <w:rFonts w:hint="eastAsia" w:ascii="Times New Roman" w:hAnsi="Times New Roman" w:cs="Times New Roman"/>
          <w:sz w:val="24"/>
          <w:lang w:val="en-US" w:eastAsia="zh-CN"/>
        </w:rPr>
        <w:t>11</w:t>
      </w:r>
      <w:r>
        <w:rPr>
          <w:rFonts w:hint="default" w:ascii="Times New Roman" w:hAnsi="Times New Roman" w:eastAsia="宋体" w:cs="Times New Roman"/>
          <w:sz w:val="24"/>
        </w:rPr>
        <w:t>月</w:t>
      </w:r>
      <w:r>
        <w:rPr>
          <w:rFonts w:hint="eastAsia" w:ascii="Times New Roman" w:hAnsi="Times New Roman" w:cs="Times New Roman"/>
          <w:sz w:val="24"/>
          <w:lang w:val="en-US" w:eastAsia="zh-CN"/>
        </w:rPr>
        <w:t>25</w:t>
      </w:r>
      <w:r>
        <w:rPr>
          <w:rFonts w:hint="default" w:ascii="Times New Roman" w:hAnsi="Times New Roman" w:eastAsia="宋体" w:cs="Times New Roman"/>
          <w:sz w:val="24"/>
        </w:rPr>
        <w:t>日</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w:t>
      </w:r>
      <w:r>
        <w:rPr>
          <w:rFonts w:hint="eastAsia" w:ascii="Times New Roman" w:hAnsi="Times New Roman" w:cs="Times New Roman"/>
          <w:sz w:val="24"/>
          <w:lang w:val="en-US" w:eastAsia="zh-CN"/>
        </w:rPr>
        <w:t>2</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《关于进一步加强环境影响评价管理防范环境风险的通知》（环发[2012]77号）；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w:t>
      </w:r>
      <w:r>
        <w:rPr>
          <w:rFonts w:hint="eastAsia" w:ascii="Times New Roman" w:hAnsi="Times New Roman" w:cs="Times New Roman"/>
          <w:sz w:val="24"/>
          <w:lang w:val="en-US" w:eastAsia="zh-CN"/>
        </w:rPr>
        <w:t>3</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《关于印发&lt;企业突环境事件风险评估指南(试行)的通知&gt;》（环办[2014]34号）；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w:t>
      </w:r>
      <w:r>
        <w:rPr>
          <w:rFonts w:hint="eastAsia" w:ascii="Times New Roman" w:hAnsi="Times New Roman" w:cs="Times New Roman"/>
          <w:sz w:val="24"/>
          <w:lang w:val="en-US" w:eastAsia="zh-CN"/>
        </w:rPr>
        <w:t>4</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《突发环境事件调查处理办法》（环保部令第32号）；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w:t>
      </w:r>
      <w:r>
        <w:rPr>
          <w:rFonts w:hint="eastAsia" w:ascii="Times New Roman" w:hAnsi="Times New Roman" w:cs="Times New Roman"/>
          <w:sz w:val="24"/>
          <w:lang w:val="en-US" w:eastAsia="zh-CN"/>
        </w:rPr>
        <w:t>5</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国务院关于加强环境保护重点工作的意见</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国发〔2011〕35号</w:t>
      </w:r>
    </w:p>
    <w:p>
      <w:pPr>
        <w:pStyle w:val="10"/>
        <w:spacing w:line="360" w:lineRule="auto"/>
        <w:ind w:firstLine="482"/>
        <w:rPr>
          <w:rFonts w:hint="default" w:ascii="Times New Roman" w:hAnsi="Times New Roman" w:eastAsia="宋体" w:cs="Times New Roman"/>
          <w:sz w:val="24"/>
          <w:lang w:val="en-US" w:eastAsia="zh-CN"/>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w:t>
      </w:r>
      <w:r>
        <w:rPr>
          <w:rFonts w:hint="eastAsia" w:ascii="Times New Roman" w:hAnsi="Times New Roman" w:cs="Times New Roman"/>
          <w:sz w:val="24"/>
          <w:lang w:val="en-US" w:eastAsia="zh-CN"/>
        </w:rPr>
        <w:t>6</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产业结构调整指导目录</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20</w:t>
      </w:r>
      <w:r>
        <w:rPr>
          <w:rFonts w:hint="eastAsia" w:ascii="Times New Roman" w:hAnsi="Times New Roman" w:eastAsia="宋体" w:cs="Times New Roman"/>
          <w:sz w:val="24"/>
          <w:lang w:val="en-US" w:eastAsia="zh-CN"/>
        </w:rPr>
        <w:t>22</w:t>
      </w:r>
      <w:r>
        <w:rPr>
          <w:rFonts w:hint="default" w:ascii="Times New Roman" w:hAnsi="Times New Roman" w:eastAsia="宋体" w:cs="Times New Roman"/>
          <w:sz w:val="24"/>
          <w:lang w:val="en-US" w:eastAsia="zh-CN"/>
        </w:rPr>
        <w:t>年版</w:t>
      </w:r>
    </w:p>
    <w:p>
      <w:pPr>
        <w:pStyle w:val="5"/>
        <w:bidi w:val="0"/>
        <w:rPr>
          <w:rFonts w:hint="eastAsia" w:ascii="宋体" w:hAnsi="宋体" w:eastAsia="宋体" w:cs="宋体"/>
        </w:rPr>
      </w:pPr>
      <w:bookmarkStart w:id="65" w:name="_Toc6698"/>
      <w:r>
        <w:rPr>
          <w:rFonts w:hint="eastAsia" w:ascii="宋体" w:hAnsi="宋体" w:eastAsia="宋体" w:cs="宋体"/>
          <w:lang w:val="en-US" w:eastAsia="zh-CN"/>
        </w:rPr>
        <w:t>2</w:t>
      </w:r>
      <w:r>
        <w:rPr>
          <w:rFonts w:hint="eastAsia" w:ascii="宋体" w:hAnsi="宋体" w:eastAsia="宋体" w:cs="宋体"/>
        </w:rPr>
        <w:t>.2.3相关规范性文件及技术指南</w:t>
      </w:r>
      <w:bookmarkEnd w:id="57"/>
      <w:bookmarkEnd w:id="58"/>
      <w:bookmarkEnd w:id="59"/>
      <w:bookmarkEnd w:id="60"/>
      <w:bookmarkEnd w:id="61"/>
      <w:bookmarkEnd w:id="62"/>
      <w:bookmarkEnd w:id="63"/>
      <w:bookmarkEnd w:id="64"/>
      <w:bookmarkEnd w:id="65"/>
    </w:p>
    <w:p>
      <w:pPr>
        <w:pStyle w:val="10"/>
        <w:spacing w:line="360" w:lineRule="auto"/>
        <w:ind w:firstLine="482"/>
        <w:rPr>
          <w:rFonts w:hint="default" w:ascii="Times New Roman" w:hAnsi="Times New Roman" w:eastAsia="宋体" w:cs="Times New Roman"/>
          <w:sz w:val="24"/>
        </w:rPr>
      </w:pPr>
      <w:bookmarkStart w:id="66" w:name="_Toc478820574"/>
      <w:bookmarkStart w:id="67" w:name="_Toc31314"/>
      <w:bookmarkStart w:id="68" w:name="_Toc29083"/>
      <w:bookmarkStart w:id="69" w:name="_Toc247"/>
      <w:bookmarkStart w:id="70" w:name="_Toc30066"/>
      <w:bookmarkStart w:id="71" w:name="_Toc23446"/>
      <w:bookmarkStart w:id="72" w:name="_Toc22963"/>
      <w:bookmarkStart w:id="73" w:name="_Toc4468"/>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1</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《企业事业单位突发环境事件应急预案管理办法》（环保部环发[2015]4号）</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2</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《生产经营单位安全生产事故应急预案编制导则》（GB/T29639-2013）</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3</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《建设项目环境风险评价技术导则》（HJ/T169-20</w:t>
      </w:r>
      <w:r>
        <w:rPr>
          <w:rFonts w:hint="default" w:ascii="Times New Roman" w:hAnsi="Times New Roman" w:eastAsia="宋体" w:cs="Times New Roman"/>
          <w:sz w:val="24"/>
          <w:lang w:val="en-US"/>
        </w:rPr>
        <w:t>18</w:t>
      </w:r>
      <w:r>
        <w:rPr>
          <w:rFonts w:hint="default" w:ascii="Times New Roman" w:hAnsi="Times New Roman" w:eastAsia="宋体" w:cs="Times New Roman"/>
          <w:sz w:val="24"/>
        </w:rPr>
        <w:t>）</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4</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《危险化学品重大危险源辨识》（GB18218-20</w:t>
      </w:r>
      <w:r>
        <w:rPr>
          <w:rFonts w:hint="eastAsia" w:ascii="Times New Roman" w:hAnsi="Times New Roman" w:cs="Times New Roman"/>
          <w:sz w:val="24"/>
          <w:lang w:val="en-US" w:eastAsia="zh-CN"/>
        </w:rPr>
        <w:t>18</w:t>
      </w:r>
      <w:r>
        <w:rPr>
          <w:rFonts w:hint="default" w:ascii="Times New Roman" w:hAnsi="Times New Roman" w:eastAsia="宋体" w:cs="Times New Roman"/>
          <w:sz w:val="24"/>
        </w:rPr>
        <w:t xml:space="preserve"> ）</w:t>
      </w:r>
    </w:p>
    <w:p>
      <w:pPr>
        <w:pStyle w:val="10"/>
        <w:spacing w:line="360" w:lineRule="auto"/>
        <w:ind w:firstLine="482"/>
        <w:rPr>
          <w:rFonts w:hint="default" w:ascii="Times New Roman" w:hAnsi="Times New Roman" w:eastAsia="宋体" w:cs="Times New Roman"/>
          <w:sz w:val="24"/>
        </w:rPr>
      </w:pP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5</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企业突发环境事件风险评估指南</w:t>
      </w:r>
      <w:r>
        <w:rPr>
          <w:rFonts w:hint="default" w:ascii="Times New Roman" w:hAnsi="Times New Roman" w:eastAsia="宋体" w:cs="Times New Roman"/>
          <w:sz w:val="24"/>
          <w:lang w:eastAsia="zh-CN"/>
        </w:rPr>
        <w:t>》（试行）</w:t>
      </w:r>
    </w:p>
    <w:p>
      <w:pPr>
        <w:pStyle w:val="5"/>
        <w:bidi w:val="0"/>
        <w:rPr>
          <w:rFonts w:hint="eastAsia" w:ascii="宋体" w:hAnsi="宋体" w:eastAsia="宋体" w:cs="宋体"/>
        </w:rPr>
      </w:pPr>
      <w:bookmarkStart w:id="74" w:name="_Toc31596"/>
      <w:r>
        <w:rPr>
          <w:rFonts w:hint="eastAsia" w:ascii="宋体" w:hAnsi="宋体" w:eastAsia="宋体" w:cs="宋体"/>
          <w:lang w:val="en-US" w:eastAsia="zh-CN"/>
        </w:rPr>
        <w:t>2</w:t>
      </w:r>
      <w:r>
        <w:rPr>
          <w:rFonts w:hint="eastAsia" w:ascii="宋体" w:hAnsi="宋体" w:eastAsia="宋体" w:cs="宋体"/>
        </w:rPr>
        <w:t>.2.4相关应急预案</w:t>
      </w:r>
      <w:bookmarkEnd w:id="66"/>
      <w:bookmarkEnd w:id="67"/>
      <w:bookmarkEnd w:id="68"/>
      <w:bookmarkEnd w:id="69"/>
      <w:bookmarkEnd w:id="70"/>
      <w:bookmarkEnd w:id="71"/>
      <w:bookmarkEnd w:id="72"/>
      <w:bookmarkEnd w:id="73"/>
      <w:bookmarkEnd w:id="74"/>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（1）《国家突发公共事件总体应急预案》2006年1月8日</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（2）《</w:t>
      </w:r>
      <w:r>
        <w:rPr>
          <w:rFonts w:hint="eastAsia" w:eastAsia="宋体" w:cs="Times New Roman"/>
          <w:sz w:val="24"/>
          <w:szCs w:val="24"/>
          <w:lang w:val="en-US" w:eastAsia="zh-CN"/>
        </w:rPr>
        <w:fldChar w:fldCharType="begin"/>
      </w:r>
      <w:r>
        <w:rPr>
          <w:rFonts w:hint="eastAsia" w:eastAsia="宋体" w:cs="Times New Roman"/>
          <w:sz w:val="24"/>
          <w:szCs w:val="24"/>
          <w:lang w:val="en-US" w:eastAsia="zh-CN"/>
        </w:rPr>
        <w:instrText xml:space="preserve"> HYPERLINK "http://politics.people.com.cn/GB/1026/4146973.html" \t "_blank" </w:instrText>
      </w:r>
      <w:r>
        <w:rPr>
          <w:rFonts w:hint="eastAsia" w:eastAsia="宋体" w:cs="Times New Roman"/>
          <w:sz w:val="24"/>
          <w:szCs w:val="24"/>
          <w:lang w:val="en-US" w:eastAsia="zh-CN"/>
        </w:rPr>
        <w:fldChar w:fldCharType="separate"/>
      </w:r>
      <w:r>
        <w:rPr>
          <w:rFonts w:hint="eastAsia" w:eastAsia="宋体" w:cs="Times New Roman"/>
          <w:sz w:val="24"/>
          <w:szCs w:val="24"/>
          <w:lang w:val="en-US" w:eastAsia="zh-CN"/>
        </w:rPr>
        <w:t>国家突发公共事件医疗卫生救援应急预案</w:t>
      </w:r>
      <w:r>
        <w:rPr>
          <w:rFonts w:hint="eastAsia" w:eastAsia="宋体" w:cs="Times New Roman"/>
          <w:sz w:val="24"/>
          <w:szCs w:val="24"/>
          <w:lang w:val="en-US" w:eastAsia="zh-CN"/>
        </w:rPr>
        <w:fldChar w:fldCharType="end"/>
      </w:r>
      <w:r>
        <w:rPr>
          <w:rFonts w:hint="eastAsia"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（3）《国家突发公共卫生事件应急预案》</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（4）《国家突发环境事件应急预案》国办函[2014]119号</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（5）《内蒙古自治区突发公共事件总体应急预案》</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（6）《内蒙古自治区突发环境事件应急预案（试行）》（内政办发〔2016〕44号）</w:t>
      </w:r>
    </w:p>
    <w:p>
      <w:pPr>
        <w:pStyle w:val="4"/>
        <w:bidi w:val="0"/>
        <w:outlineLvl w:val="1"/>
        <w:rPr>
          <w:rFonts w:hint="eastAsia" w:ascii="宋体" w:hAnsi="宋体" w:eastAsia="宋体" w:cs="宋体"/>
        </w:rPr>
      </w:pPr>
      <w:bookmarkStart w:id="75" w:name="_Toc21091"/>
      <w:bookmarkStart w:id="76" w:name="_Toc239_WPSOffice_Level1"/>
      <w:bookmarkStart w:id="77" w:name="_Toc28750_WPSOffice_Level1"/>
      <w:bookmarkStart w:id="78" w:name="_Toc407"/>
      <w:bookmarkStart w:id="79" w:name="_Toc8755"/>
      <w:bookmarkStart w:id="80" w:name="_Toc18024"/>
      <w:bookmarkStart w:id="81" w:name="_Toc7757"/>
      <w:bookmarkStart w:id="82" w:name="_Toc13107"/>
      <w:bookmarkStart w:id="83" w:name="_Toc23014"/>
      <w:bookmarkStart w:id="84" w:name="_Toc20178"/>
      <w:bookmarkStart w:id="85" w:name="_Toc479063270"/>
      <w:r>
        <w:rPr>
          <w:rFonts w:hint="eastAsia" w:ascii="宋体" w:hAnsi="宋体" w:eastAsia="宋体" w:cs="宋体"/>
        </w:rPr>
        <w:t>2.3评估范围</w:t>
      </w:r>
      <w:bookmarkEnd w:id="75"/>
      <w:bookmarkEnd w:id="76"/>
      <w:bookmarkEnd w:id="77"/>
      <w:bookmarkEnd w:id="78"/>
      <w:bookmarkEnd w:id="79"/>
      <w:bookmarkEnd w:id="80"/>
      <w:bookmarkEnd w:id="81"/>
      <w:bookmarkEnd w:id="82"/>
      <w:bookmarkEnd w:id="83"/>
      <w:bookmarkEnd w:id="84"/>
      <w:bookmarkEnd w:id="85"/>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本预案适用于</w:t>
      </w:r>
      <w:r>
        <w:rPr>
          <w:rFonts w:hint="eastAsia" w:cs="Times New Roman"/>
          <w:sz w:val="24"/>
          <w:szCs w:val="24"/>
          <w:lang w:val="en-US" w:eastAsia="zh-CN"/>
        </w:rPr>
        <w:t>中国石油天然气股份有限公司呼和浩特石化分公司</w:t>
      </w:r>
      <w:r>
        <w:rPr>
          <w:rFonts w:hint="eastAsia" w:eastAsia="宋体" w:cs="Times New Roman"/>
          <w:sz w:val="24"/>
          <w:szCs w:val="24"/>
          <w:lang w:val="en-US" w:eastAsia="zh-CN"/>
        </w:rPr>
        <w:t>可能发生的突发环境事件的环境风险等级进行评估。</w:t>
      </w:r>
    </w:p>
    <w:p>
      <w:pPr>
        <w:pStyle w:val="4"/>
        <w:bidi w:val="0"/>
        <w:outlineLvl w:val="1"/>
        <w:rPr>
          <w:rFonts w:hint="eastAsia" w:ascii="宋体" w:hAnsi="宋体" w:eastAsia="宋体" w:cs="宋体"/>
        </w:rPr>
      </w:pPr>
      <w:bookmarkStart w:id="86" w:name="_Toc24670_WPSOffice_Level1"/>
      <w:bookmarkStart w:id="87" w:name="_Toc2761"/>
      <w:bookmarkStart w:id="88" w:name="_Toc11233"/>
      <w:bookmarkStart w:id="89" w:name="_Toc30311"/>
      <w:bookmarkStart w:id="90" w:name="_Toc18134"/>
      <w:bookmarkStart w:id="91" w:name="_Toc479063271"/>
      <w:bookmarkStart w:id="92" w:name="_Toc30259"/>
      <w:bookmarkStart w:id="93" w:name="_Toc16584_WPSOffice_Level1"/>
      <w:bookmarkStart w:id="94" w:name="_Toc17745"/>
      <w:bookmarkStart w:id="95" w:name="_Toc20262"/>
      <w:bookmarkStart w:id="96" w:name="_Toc13846"/>
      <w:r>
        <w:rPr>
          <w:rFonts w:hint="eastAsia" w:ascii="宋体" w:hAnsi="宋体" w:eastAsia="宋体" w:cs="宋体"/>
        </w:rPr>
        <w:t>2.4评估方法</w:t>
      </w:r>
      <w:bookmarkEnd w:id="86"/>
      <w:bookmarkEnd w:id="87"/>
      <w:bookmarkEnd w:id="88"/>
      <w:bookmarkEnd w:id="89"/>
      <w:bookmarkEnd w:id="90"/>
      <w:bookmarkEnd w:id="91"/>
      <w:bookmarkEnd w:id="92"/>
      <w:bookmarkEnd w:id="93"/>
      <w:bookmarkEnd w:id="94"/>
      <w:bookmarkEnd w:id="95"/>
      <w:bookmarkEnd w:id="96"/>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通过定量分析企业生产、加工、使用、储存或释放的所有环境风险物质数量与其临界量的比值（Q），评估工艺过程与环境风险控制水平（M）以及环境风险受体敏感性（E），按照矩阵法对企业环境风险等级进行划分。环境风险等级划分为一般环境风险、较大环境风险和重大环境风险三级，分别用蓝色、黄色和红色标识。划分等级后对企业可能发生突发环境事件及其后果进行分析，提出环境风险防控措施对策建议。</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环境风险评估方法如图2.4-1所示。</w:t>
      </w:r>
    </w:p>
    <w:p>
      <w:pPr>
        <w:spacing w:line="480" w:lineRule="auto"/>
        <w:jc w:val="center"/>
        <w:rPr>
          <w:rFonts w:hint="eastAsia" w:ascii="宋体" w:hAnsi="宋体" w:eastAsia="宋体" w:cs="宋体"/>
          <w:bCs/>
          <w:color w:val="auto"/>
          <w:sz w:val="24"/>
          <w:lang w:eastAsia="zh-CN"/>
        </w:rPr>
      </w:pPr>
      <w:r>
        <w:rPr>
          <w:rFonts w:hint="eastAsia" w:ascii="宋体" w:hAnsi="宋体" w:eastAsia="宋体" w:cs="宋体"/>
          <w:bCs/>
          <w:color w:val="auto"/>
          <w:sz w:val="24"/>
          <w:lang w:eastAsia="zh-CN"/>
        </w:rPr>
        <w:drawing>
          <wp:inline distT="0" distB="0" distL="114300" distR="114300">
            <wp:extent cx="4747260" cy="4568190"/>
            <wp:effectExtent l="0" t="0" r="15240" b="3810"/>
            <wp:docPr id="6" name="图片 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图片2"/>
                    <pic:cNvPicPr>
                      <a:picLocks noChangeAspect="1"/>
                    </pic:cNvPicPr>
                  </pic:nvPicPr>
                  <pic:blipFill>
                    <a:blip r:embed="rId8"/>
                    <a:stretch>
                      <a:fillRect/>
                    </a:stretch>
                  </pic:blipFill>
                  <pic:spPr>
                    <a:xfrm>
                      <a:off x="0" y="0"/>
                      <a:ext cx="4747260" cy="4568190"/>
                    </a:xfrm>
                    <a:prstGeom prst="rect">
                      <a:avLst/>
                    </a:prstGeom>
                    <a:noFill/>
                    <a:ln>
                      <a:noFill/>
                    </a:ln>
                  </pic:spPr>
                </pic:pic>
              </a:graphicData>
            </a:graphic>
          </wp:inline>
        </w:drawing>
      </w:r>
    </w:p>
    <w:p>
      <w:pPr>
        <w:widowControl w:val="0"/>
        <w:jc w:val="center"/>
        <w:rPr>
          <w:rFonts w:hint="eastAsia" w:ascii="宋体" w:hAnsi="宋体" w:eastAsia="宋体" w:cs="宋体"/>
          <w:b/>
          <w:bCs/>
          <w:color w:val="auto"/>
          <w:kern w:val="2"/>
          <w:sz w:val="24"/>
          <w:szCs w:val="24"/>
          <w:lang w:val="en-US" w:eastAsia="zh-CN" w:bidi="ar-SA"/>
        </w:rPr>
      </w:pPr>
      <w:bookmarkStart w:id="97" w:name="_Toc12274_WPSOffice_Level1"/>
      <w:bookmarkStart w:id="98" w:name="_Toc19206_WPSOffice_Level1"/>
      <w:r>
        <w:rPr>
          <w:rFonts w:hint="eastAsia" w:ascii="宋体" w:hAnsi="宋体" w:eastAsia="宋体" w:cs="宋体"/>
          <w:b/>
          <w:bCs/>
          <w:color w:val="auto"/>
          <w:kern w:val="2"/>
          <w:sz w:val="24"/>
          <w:szCs w:val="24"/>
          <w:lang w:val="en-US" w:eastAsia="zh-CN" w:bidi="ar-SA"/>
        </w:rPr>
        <w:t>图2.4-1  企业环境风险评估方法</w:t>
      </w:r>
      <w:bookmarkEnd w:id="97"/>
      <w:bookmarkEnd w:id="98"/>
    </w:p>
    <w:p>
      <w:pPr>
        <w:pStyle w:val="3"/>
        <w:bidi w:val="0"/>
        <w:rPr>
          <w:rFonts w:hint="eastAsia" w:ascii="宋体" w:hAnsi="宋体" w:eastAsia="宋体" w:cs="宋体"/>
        </w:rPr>
      </w:pPr>
      <w:r>
        <w:rPr>
          <w:rFonts w:hint="eastAsia" w:ascii="宋体" w:hAnsi="宋体" w:eastAsia="宋体" w:cs="宋体"/>
        </w:rPr>
        <w:br w:type="page"/>
      </w:r>
      <w:bookmarkStart w:id="99" w:name="_Toc1436"/>
      <w:bookmarkStart w:id="100" w:name="_Toc5720"/>
      <w:bookmarkStart w:id="101" w:name="_Toc18561_WPSOffice_Level1"/>
      <w:bookmarkStart w:id="102" w:name="_Toc479063272"/>
      <w:bookmarkStart w:id="103" w:name="_Toc23785"/>
      <w:bookmarkStart w:id="104" w:name="_Toc6795"/>
      <w:bookmarkStart w:id="105" w:name="_Toc32003"/>
      <w:bookmarkStart w:id="106" w:name="_Toc5777"/>
      <w:bookmarkStart w:id="107" w:name="_Toc13215"/>
      <w:bookmarkStart w:id="108" w:name="_Toc250_WPSOffice_Level1"/>
      <w:bookmarkStart w:id="109" w:name="_Toc1220"/>
      <w:r>
        <w:rPr>
          <w:rStyle w:val="25"/>
          <w:rFonts w:hint="eastAsia"/>
          <w:b/>
        </w:rPr>
        <w:t>3</w:t>
      </w:r>
      <w:bookmarkStart w:id="110" w:name="_Toc433711185"/>
      <w:r>
        <w:rPr>
          <w:rStyle w:val="25"/>
          <w:rFonts w:hint="eastAsia"/>
          <w:b/>
        </w:rPr>
        <w:t>资料准备与环境风险识别</w:t>
      </w:r>
      <w:bookmarkEnd w:id="99"/>
      <w:bookmarkEnd w:id="100"/>
      <w:bookmarkEnd w:id="101"/>
      <w:bookmarkEnd w:id="102"/>
      <w:bookmarkEnd w:id="103"/>
      <w:bookmarkEnd w:id="104"/>
      <w:bookmarkEnd w:id="105"/>
      <w:bookmarkEnd w:id="106"/>
      <w:bookmarkEnd w:id="107"/>
      <w:bookmarkEnd w:id="108"/>
      <w:bookmarkEnd w:id="109"/>
      <w:bookmarkEnd w:id="110"/>
    </w:p>
    <w:p>
      <w:pPr>
        <w:pStyle w:val="4"/>
        <w:bidi w:val="0"/>
        <w:outlineLvl w:val="1"/>
        <w:rPr>
          <w:rFonts w:hint="eastAsia" w:ascii="宋体" w:hAnsi="宋体" w:eastAsia="宋体" w:cs="宋体"/>
        </w:rPr>
      </w:pPr>
      <w:bookmarkStart w:id="111" w:name="_Toc23349"/>
      <w:bookmarkStart w:id="112" w:name="_Toc9771"/>
      <w:bookmarkStart w:id="113" w:name="_Toc479063273"/>
      <w:bookmarkStart w:id="114" w:name="_Toc14566"/>
      <w:bookmarkStart w:id="115" w:name="_Toc12720"/>
      <w:bookmarkStart w:id="116" w:name="_Toc10498"/>
      <w:bookmarkStart w:id="117" w:name="_Toc21439"/>
      <w:bookmarkStart w:id="118" w:name="_Toc13857_WPSOffice_Level1"/>
      <w:bookmarkStart w:id="119" w:name="_Toc18282"/>
      <w:bookmarkStart w:id="120" w:name="_Toc29369"/>
      <w:bookmarkStart w:id="121" w:name="_Toc18955_WPSOffice_Level1"/>
      <w:r>
        <w:rPr>
          <w:rFonts w:hint="eastAsia" w:ascii="宋体" w:hAnsi="宋体" w:eastAsia="宋体" w:cs="宋体"/>
        </w:rPr>
        <w:t>3.1企业基本信息</w:t>
      </w:r>
      <w:bookmarkEnd w:id="111"/>
      <w:bookmarkEnd w:id="112"/>
      <w:bookmarkEnd w:id="113"/>
      <w:bookmarkEnd w:id="114"/>
      <w:bookmarkEnd w:id="115"/>
      <w:bookmarkEnd w:id="116"/>
      <w:bookmarkEnd w:id="117"/>
      <w:bookmarkEnd w:id="118"/>
      <w:bookmarkEnd w:id="119"/>
      <w:bookmarkEnd w:id="120"/>
      <w:bookmarkEnd w:id="121"/>
    </w:p>
    <w:p>
      <w:pPr>
        <w:pStyle w:val="5"/>
        <w:bidi w:val="0"/>
        <w:rPr>
          <w:rFonts w:hint="eastAsia" w:ascii="宋体" w:hAnsi="宋体" w:eastAsia="宋体" w:cs="宋体"/>
          <w:lang w:val="en-US" w:eastAsia="zh-CN"/>
        </w:rPr>
      </w:pPr>
      <w:bookmarkStart w:id="122" w:name="_Toc20057"/>
      <w:bookmarkStart w:id="123" w:name="_Toc5804"/>
      <w:bookmarkStart w:id="124" w:name="_Toc16453"/>
      <w:bookmarkStart w:id="125" w:name="_Toc21185"/>
      <w:r>
        <w:rPr>
          <w:rFonts w:hint="eastAsia" w:ascii="宋体" w:hAnsi="宋体" w:eastAsia="宋体" w:cs="宋体"/>
          <w:lang w:val="en-US" w:eastAsia="zh-CN"/>
        </w:rPr>
        <w:t>3.1.1项目概况</w:t>
      </w:r>
      <w:bookmarkEnd w:id="122"/>
      <w:bookmarkEnd w:id="123"/>
      <w:bookmarkEnd w:id="124"/>
      <w:bookmarkEnd w:id="125"/>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1</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建设地点：呼和浩特市金桥开发区金河镇</w:t>
      </w:r>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2</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生产规模：炼油能力500万吨/年</w:t>
      </w:r>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3</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原料供应：长庆原油、二连原油</w:t>
      </w:r>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4</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产品范围：主要产品是汽柴油、航空煤油、石脑油、溶剂油、重油、液化石油气、燃料油、精丙烯、聚丙烯、苯、硫磺、液氨等7 大类17 种产品。</w:t>
      </w:r>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5</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地理位置：</w:t>
      </w:r>
      <w:r>
        <w:rPr>
          <w:rFonts w:hint="eastAsia" w:ascii="Times New Roman" w:hAnsi="Times New Roman" w:eastAsia="宋体" w:cs="Times New Roman"/>
          <w:sz w:val="24"/>
        </w:rPr>
        <w:t>呼和浩特石化公司位于呼和浩特市赛罕区，地理坐标为东经111°45'，北纬40°43'。厂区北临呼凉公路（102省道），东面有地区公路通过，设有铁路专用线与国铁京包线接轨于白塔车站。</w:t>
      </w:r>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lang w:eastAsia="zh-CN"/>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6</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平面布置：</w:t>
      </w:r>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val="zh-CN"/>
        </w:rPr>
        <w:t>公司厂区按功能分区布置，各功能区之间采用通道分隔。</w:t>
      </w:r>
      <w:r>
        <w:rPr>
          <w:rFonts w:hint="eastAsia" w:ascii="Times New Roman" w:hAnsi="Times New Roman" w:eastAsia="宋体" w:cs="Times New Roman"/>
          <w:sz w:val="24"/>
        </w:rPr>
        <w:t>功能分区主要包括：厂前区、生产装置区、辅助设施区、储存设施区、公用工程设施区。</w:t>
      </w:r>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厂前区</w:t>
      </w:r>
      <w:r>
        <w:rPr>
          <w:rFonts w:hint="eastAsia" w:ascii="Times New Roman" w:hAnsi="Times New Roman" w:eastAsia="宋体" w:cs="Times New Roman"/>
          <w:sz w:val="24"/>
          <w:lang w:val="zh-CN"/>
        </w:rPr>
        <w:t>：</w:t>
      </w:r>
      <w:r>
        <w:rPr>
          <w:rFonts w:hint="eastAsia" w:ascii="Times New Roman" w:hAnsi="Times New Roman" w:eastAsia="宋体" w:cs="Times New Roman"/>
          <w:sz w:val="24"/>
        </w:rPr>
        <w:t>包括综合办公楼、食堂、小车库、消防站及气防站、三修车间、全厂仓库、中心控制室及化验室等。</w:t>
      </w:r>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生产装置区布置在厂区的中西部，包括：</w:t>
      </w:r>
      <w:r>
        <w:rPr>
          <w:rFonts w:hint="eastAsia" w:ascii="Times New Roman" w:hAnsi="Times New Roman" w:cs="Times New Roman"/>
          <w:sz w:val="24"/>
          <w:lang w:eastAsia="zh-CN"/>
        </w:rPr>
        <w:t>炼油一部</w:t>
      </w:r>
      <w:r>
        <w:rPr>
          <w:rFonts w:hint="eastAsia" w:ascii="Times New Roman" w:hAnsi="Times New Roman" w:eastAsia="宋体" w:cs="Times New Roman"/>
          <w:sz w:val="24"/>
        </w:rPr>
        <w:t>（包括500万吨/年常压蒸馏装置、280万吨/年催化裂化装置、50万吨/年气体分馏装置</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后改扩建至65</w:t>
      </w:r>
      <w:r>
        <w:rPr>
          <w:rFonts w:hint="default" w:ascii="Times New Roman" w:hAnsi="Times New Roman" w:cs="Times New Roman"/>
          <w:sz w:val="24"/>
          <w:szCs w:val="24"/>
        </w:rPr>
        <w:t>万吨/年</w:t>
      </w:r>
      <w:r>
        <w:rPr>
          <w:rFonts w:hint="eastAsia" w:ascii="Times New Roman" w:hAnsi="Times New Roman" w:cs="Times New Roman"/>
          <w:sz w:val="24"/>
          <w:szCs w:val="24"/>
          <w:lang w:eastAsia="zh-CN"/>
        </w:rPr>
        <w:t>）</w:t>
      </w:r>
      <w:r>
        <w:rPr>
          <w:rFonts w:hint="eastAsia" w:ascii="Times New Roman" w:hAnsi="Times New Roman" w:eastAsia="宋体" w:cs="Times New Roman"/>
          <w:sz w:val="24"/>
        </w:rPr>
        <w:t>、8万吨/年MTBE装置</w:t>
      </w:r>
      <w:r>
        <w:rPr>
          <w:rFonts w:hint="eastAsia" w:ascii="Times New Roman" w:hAnsi="Times New Roman" w:cs="Times New Roman"/>
          <w:sz w:val="24"/>
          <w:lang w:eastAsia="zh-CN"/>
        </w:rPr>
        <w:t>、</w:t>
      </w:r>
      <w:r>
        <w:rPr>
          <w:rFonts w:hint="default" w:ascii="Times New Roman" w:hAnsi="Times New Roman" w:cs="Times New Roman" w:eastAsiaTheme="minorEastAsia"/>
          <w:snapToGrid w:val="0"/>
          <w:kern w:val="0"/>
          <w:sz w:val="24"/>
          <w:szCs w:val="24"/>
          <w:lang w:val="en-US" w:eastAsia="zh-CN" w:bidi="ar-SA"/>
        </w:rPr>
        <w:t>5万吨/年丙烷脱氢装置</w:t>
      </w:r>
      <w:r>
        <w:rPr>
          <w:rFonts w:hint="eastAsia" w:ascii="Times New Roman" w:hAnsi="Times New Roman" w:eastAsia="宋体" w:cs="Times New Roman"/>
          <w:sz w:val="24"/>
        </w:rPr>
        <w:t>）、</w:t>
      </w:r>
      <w:r>
        <w:rPr>
          <w:rFonts w:hint="eastAsia" w:ascii="Times New Roman" w:hAnsi="Times New Roman" w:cs="Times New Roman"/>
          <w:sz w:val="24"/>
          <w:lang w:val="en-US" w:eastAsia="zh-CN"/>
        </w:rPr>
        <w:t>炼油二部</w:t>
      </w:r>
      <w:r>
        <w:rPr>
          <w:rFonts w:hint="eastAsia" w:ascii="Times New Roman" w:hAnsi="Times New Roman" w:eastAsia="宋体" w:cs="Times New Roman"/>
          <w:sz w:val="24"/>
        </w:rPr>
        <w:t>（包括140万吨/年柴油加氢降凝装置、30万吨/年煤油加氢精制装置、90万吨/年柴油加氢改质装置、60万吨/年连续重整装置、120万吨/年催化汽油加氢脱硫、30万吨/年轻汽油醚化</w:t>
      </w:r>
      <w:r>
        <w:rPr>
          <w:rFonts w:hint="eastAsia" w:ascii="Times New Roman" w:hAnsi="Times New Roman" w:eastAsia="宋体" w:cs="Times New Roman"/>
          <w:sz w:val="24"/>
          <w:lang w:val="zh-CN"/>
        </w:rPr>
        <w:t>装置、3套含氢尾气氢气回收装置）</w:t>
      </w:r>
      <w:r>
        <w:rPr>
          <w:rFonts w:hint="eastAsia" w:ascii="Times New Roman" w:hAnsi="Times New Roman" w:eastAsia="宋体" w:cs="Times New Roman"/>
          <w:sz w:val="24"/>
        </w:rPr>
        <w:t>、硫磺装置布置在厂区西南侧（包括新建氨精制装置）；聚丙烯装置布置在厂区南侧；聚丙烯仓库布置在聚丙烯装置的东侧。供热供风联合区域布置在厂区西北角空地内，包括供水设施（含处理设施）、消防设施、空分、空压、除盐水及动力站等。</w:t>
      </w:r>
    </w:p>
    <w:p>
      <w:pPr>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原油罐区、汽柴油及航煤罐区布置在厂区最南端，其它罐区及气柜布置在厂区东侧的储罐区内。汽车装车设施布置在厂区东南角，铁路装车设施布置在厂区南端。</w:t>
      </w:r>
    </w:p>
    <w:p>
      <w:pPr>
        <w:spacing w:before="153" w:line="336" w:lineRule="auto"/>
        <w:ind w:left="288" w:right="295" w:firstLine="2"/>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w:t>
      </w:r>
      <w:r>
        <w:rPr>
          <w:rFonts w:hint="eastAsia" w:ascii="宋体" w:hAnsi="宋体" w:eastAsia="宋体" w:cs="宋体"/>
          <w:b/>
          <w:bCs/>
          <w:color w:val="auto"/>
          <w:sz w:val="24"/>
        </w:rPr>
        <w:t>.1-1 企业基本信息</w:t>
      </w:r>
    </w:p>
    <w:tbl>
      <w:tblPr>
        <w:tblStyle w:val="21"/>
        <w:tblW w:w="8947" w:type="dxa"/>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580"/>
        <w:gridCol w:w="3090"/>
        <w:gridCol w:w="1546"/>
        <w:gridCol w:w="2731"/>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90" w:hRule="atLeast"/>
          <w:jc w:val="center"/>
        </w:trPr>
        <w:tc>
          <w:tcPr>
            <w:tcW w:w="1580"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单位</w:t>
            </w:r>
            <w:r>
              <w:rPr>
                <w:rFonts w:hint="default" w:ascii="Times New Roman" w:hAnsi="Times New Roman" w:eastAsia="宋体" w:cs="Times New Roman"/>
                <w:b/>
                <w:bCs/>
                <w:color w:val="auto"/>
                <w:sz w:val="21"/>
                <w:szCs w:val="21"/>
                <w:highlight w:val="none"/>
                <w:lang w:val="en-US" w:eastAsia="zh-CN"/>
              </w:rPr>
              <w:t>名称</w:t>
            </w:r>
          </w:p>
        </w:tc>
        <w:tc>
          <w:tcPr>
            <w:tcW w:w="3090"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中国石油天然气股份有限公司呼和浩特石化分公司</w:t>
            </w:r>
          </w:p>
        </w:tc>
        <w:tc>
          <w:tcPr>
            <w:tcW w:w="154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机构代码</w:t>
            </w:r>
          </w:p>
        </w:tc>
        <w:tc>
          <w:tcPr>
            <w:tcW w:w="2731"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91150100814190106A</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90" w:hRule="atLeast"/>
          <w:jc w:val="center"/>
        </w:trPr>
        <w:tc>
          <w:tcPr>
            <w:tcW w:w="1580"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法人代表</w:t>
            </w:r>
          </w:p>
        </w:tc>
        <w:tc>
          <w:tcPr>
            <w:tcW w:w="3090"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ascii="Times New Roman" w:hAnsi="Times New Roman" w:cs="Times New Roman"/>
                <w:kern w:val="2"/>
                <w:sz w:val="21"/>
                <w:szCs w:val="21"/>
                <w:highlight w:val="none"/>
                <w:lang w:val="en-US" w:eastAsia="zh-CN" w:bidi="ar-SA"/>
              </w:rPr>
              <w:t>刘振宏</w:t>
            </w:r>
          </w:p>
        </w:tc>
        <w:tc>
          <w:tcPr>
            <w:tcW w:w="154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联系电话</w:t>
            </w:r>
          </w:p>
        </w:tc>
        <w:tc>
          <w:tcPr>
            <w:tcW w:w="2731"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0471-335100</w:t>
            </w:r>
            <w:r>
              <w:rPr>
                <w:rFonts w:hint="eastAsia" w:ascii="Times New Roman" w:hAnsi="Times New Roman" w:cs="Times New Roman"/>
                <w:kern w:val="2"/>
                <w:sz w:val="21"/>
                <w:szCs w:val="21"/>
                <w:highlight w:val="none"/>
                <w:lang w:val="en-US" w:eastAsia="zh-CN" w:bidi="ar-SA"/>
              </w:rPr>
              <w:t>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72" w:hRule="atLeast"/>
          <w:jc w:val="center"/>
        </w:trPr>
        <w:tc>
          <w:tcPr>
            <w:tcW w:w="1580"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联系人</w:t>
            </w:r>
          </w:p>
        </w:tc>
        <w:tc>
          <w:tcPr>
            <w:tcW w:w="3090"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马志远</w:t>
            </w:r>
          </w:p>
        </w:tc>
        <w:tc>
          <w:tcPr>
            <w:tcW w:w="154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联系</w:t>
            </w:r>
            <w:r>
              <w:rPr>
                <w:rFonts w:hint="default" w:ascii="Times New Roman" w:hAnsi="Times New Roman" w:eastAsia="宋体" w:cs="Times New Roman"/>
                <w:b/>
                <w:bCs/>
                <w:color w:val="auto"/>
                <w:sz w:val="21"/>
                <w:szCs w:val="21"/>
                <w:highlight w:val="none"/>
                <w:lang w:val="en-US" w:eastAsia="zh-CN"/>
              </w:rPr>
              <w:t>电话</w:t>
            </w:r>
          </w:p>
        </w:tc>
        <w:tc>
          <w:tcPr>
            <w:tcW w:w="2731"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15849373501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72" w:hRule="atLeast"/>
          <w:jc w:val="center"/>
        </w:trPr>
        <w:tc>
          <w:tcPr>
            <w:tcW w:w="1580"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传真</w:t>
            </w:r>
          </w:p>
        </w:tc>
        <w:tc>
          <w:tcPr>
            <w:tcW w:w="3090"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0471-3351067</w:t>
            </w:r>
          </w:p>
        </w:tc>
        <w:tc>
          <w:tcPr>
            <w:tcW w:w="154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电子邮箱</w:t>
            </w:r>
          </w:p>
        </w:tc>
        <w:tc>
          <w:tcPr>
            <w:tcW w:w="2731"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mazyhsh@petrochina.com.cn</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72" w:hRule="atLeast"/>
          <w:jc w:val="center"/>
        </w:trPr>
        <w:tc>
          <w:tcPr>
            <w:tcW w:w="1580"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行业类别</w:t>
            </w:r>
          </w:p>
        </w:tc>
        <w:tc>
          <w:tcPr>
            <w:tcW w:w="3090"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石油炼制业</w:t>
            </w:r>
          </w:p>
        </w:tc>
        <w:tc>
          <w:tcPr>
            <w:tcW w:w="154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性质</w:t>
            </w:r>
          </w:p>
        </w:tc>
        <w:tc>
          <w:tcPr>
            <w:tcW w:w="2731"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国有控股</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580"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占地面积</w:t>
            </w:r>
          </w:p>
        </w:tc>
        <w:tc>
          <w:tcPr>
            <w:tcW w:w="3090"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130公顷</w:t>
            </w:r>
          </w:p>
        </w:tc>
        <w:tc>
          <w:tcPr>
            <w:tcW w:w="154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所属集团</w:t>
            </w:r>
          </w:p>
        </w:tc>
        <w:tc>
          <w:tcPr>
            <w:tcW w:w="2731"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中国石油天然气股份有限公司</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580"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厂址中心坐标</w:t>
            </w:r>
          </w:p>
        </w:tc>
        <w:tc>
          <w:tcPr>
            <w:tcW w:w="3090"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北纬40°44'6.69"，东经111°45'6.59"</w:t>
            </w:r>
          </w:p>
        </w:tc>
        <w:tc>
          <w:tcPr>
            <w:tcW w:w="154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所在地</w:t>
            </w:r>
          </w:p>
        </w:tc>
        <w:tc>
          <w:tcPr>
            <w:tcW w:w="2731"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内蒙古呼和浩特市赛罕区金河镇</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580"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建厂时间</w:t>
            </w:r>
          </w:p>
        </w:tc>
        <w:tc>
          <w:tcPr>
            <w:tcW w:w="3090"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1992年9月</w:t>
            </w:r>
          </w:p>
        </w:tc>
        <w:tc>
          <w:tcPr>
            <w:tcW w:w="154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最新改扩建时间</w:t>
            </w:r>
          </w:p>
        </w:tc>
        <w:tc>
          <w:tcPr>
            <w:tcW w:w="2731"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leftChars="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2022年3月</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580"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从业人数</w:t>
            </w:r>
          </w:p>
        </w:tc>
        <w:tc>
          <w:tcPr>
            <w:tcW w:w="3090" w:type="dxa"/>
            <w:tcBorders>
              <w:tl2br w:val="nil"/>
              <w:tr2bl w:val="nil"/>
            </w:tcBorders>
            <w:noWrap w:val="0"/>
            <w:vAlign w:val="center"/>
          </w:tcPr>
          <w:p>
            <w:pPr>
              <w:keepNext w:val="0"/>
              <w:keepLines w:val="0"/>
              <w:pageBreakBefore w:val="0"/>
              <w:widowControl w:val="0"/>
              <w:kinsoku/>
              <w:wordWrap/>
              <w:overflowPunct/>
              <w:topLinePunct w:val="0"/>
              <w:bidi w:val="0"/>
              <w:spacing w:line="240" w:lineRule="auto"/>
              <w:ind w:left="0"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kern w:val="2"/>
                <w:sz w:val="21"/>
                <w:szCs w:val="21"/>
                <w:highlight w:val="none"/>
                <w:lang w:val="en-US" w:eastAsia="zh-CN" w:bidi="ar-SA"/>
              </w:rPr>
              <w:t>1720人</w:t>
            </w:r>
          </w:p>
        </w:tc>
        <w:tc>
          <w:tcPr>
            <w:tcW w:w="1546"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sz w:val="21"/>
                <w:szCs w:val="21"/>
                <w:highlight w:val="none"/>
                <w:lang w:val="en-US" w:eastAsia="zh-CN"/>
              </w:rPr>
              <w:t>建设规模</w:t>
            </w:r>
          </w:p>
        </w:tc>
        <w:tc>
          <w:tcPr>
            <w:tcW w:w="2731" w:type="dxa"/>
            <w:tcBorders>
              <w:tl2br w:val="nil"/>
              <w:tr2bl w:val="nil"/>
            </w:tcBorders>
            <w:noWrap w:val="0"/>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炼油能力500万吨/年</w:t>
            </w:r>
          </w:p>
        </w:tc>
      </w:tr>
    </w:tbl>
    <w:p>
      <w:pPr>
        <w:pStyle w:val="5"/>
        <w:bidi w:val="0"/>
        <w:rPr>
          <w:rFonts w:hint="eastAsia" w:ascii="宋体" w:hAnsi="宋体" w:eastAsia="宋体" w:cs="宋体"/>
        </w:rPr>
      </w:pPr>
      <w:bookmarkStart w:id="126" w:name="_Toc31818"/>
      <w:bookmarkStart w:id="127" w:name="_Toc494143439"/>
      <w:bookmarkStart w:id="128" w:name="_Toc17984"/>
      <w:bookmarkStart w:id="129" w:name="_Toc30507"/>
      <w:bookmarkStart w:id="130" w:name="_Toc13165"/>
      <w:r>
        <w:rPr>
          <w:rFonts w:hint="eastAsia" w:ascii="宋体" w:hAnsi="宋体" w:eastAsia="宋体" w:cs="宋体"/>
          <w:lang w:val="en-US" w:eastAsia="zh-CN"/>
        </w:rPr>
        <w:t>3.1.2</w:t>
      </w:r>
      <w:r>
        <w:rPr>
          <w:rFonts w:hint="eastAsia" w:ascii="宋体" w:hAnsi="宋体" w:eastAsia="宋体" w:cs="宋体"/>
        </w:rPr>
        <w:t>工艺流程</w:t>
      </w:r>
      <w:bookmarkEnd w:id="126"/>
      <w:bookmarkEnd w:id="127"/>
      <w:bookmarkEnd w:id="128"/>
      <w:bookmarkEnd w:id="129"/>
      <w:bookmarkEnd w:id="130"/>
      <w:bookmarkStart w:id="131" w:name="_Toc53737920"/>
    </w:p>
    <w:bookmarkEnd w:id="131"/>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rPr>
      </w:pPr>
      <w:bookmarkStart w:id="132" w:name="_Toc27930"/>
      <w:bookmarkStart w:id="133" w:name="_Toc28709"/>
      <w:bookmarkStart w:id="134" w:name="_Toc31483"/>
      <w:bookmarkStart w:id="135" w:name="_Toc23805"/>
      <w:r>
        <w:rPr>
          <w:rFonts w:hint="eastAsia" w:ascii="Times New Roman" w:hAnsi="Times New Roman" w:eastAsia="宋体" w:cs="Times New Roman"/>
          <w:sz w:val="24"/>
        </w:rPr>
        <w:t>全厂总加工流程选择常压蒸馏－催化裂化—柴油加氢精制—连续重整技术路线。项目11套生产工艺装置中有两套装置采用了国外技术：其一是连续重整装置购买重整专利工艺包（重整部分为UOP公司技术）；其二是聚丙烯装置采用了BASELL公司的SpheripolⅡ专利技术，其余9套工艺装置全部采用国产化技术。</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rPr>
      </w:pPr>
      <w:r>
        <w:rPr>
          <w:rFonts w:hint="eastAsia" w:ascii="Times New Roman" w:hAnsi="Times New Roman" w:eastAsia="宋体" w:cs="Times New Roman"/>
          <w:sz w:val="24"/>
        </w:rPr>
        <w:t>500万吨/年混合原油进常压蒸馏装置加工，采用电脱盐-闪蒸塔-常压塔流程，将混合原油分馏为干气、直馏石脑油、直馏煤油、直馏柴油与常压渣油。常压渣油去催化裂化装置，直馏柴油、直馏煤油分别去煤柴油加氢精制装置的柴油部分和煤油部分，直馏石脑油作连续重整装置预处理单元进料，干气送催化裂化装置回收液化气并脱硫。</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1</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渣油加工</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常压渣油进催化裂化装置加工，采用多产丙烯、兼顾柴油的产率及质量的方案。</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2</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柴油加工</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由于呼和浩特石化公司的柴油市场范围较大，南北气候差异明显，尤其冬季需要同时出厂多种牌号的低凝柴油，一套加氢装置较难满足要求，需设置两套柴油加氢装置。本项目总流程设计全厂全年加工分为冬夏两季操作方案，其中夏季操作时间7个月，约占全厂开工时间的58%，冬季操作时间5个月，约占42%，两个方案区别在于两套柴油加氢装置是否投用第二台反应器，总流程中数据为冬夏两方案的年平均值。</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煤柴油加氢精制装置柴油部分加工直馏柴油，装置串联设置加氢精制和加氢降凝反应器各1台，夏季精制产品可满足0#国III柴油标准，冬季降凝产品可满足-35#国III柴油标准。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柴油加氢改质装置加工催化柴油，装置串联设置加氢精制和加氢改质反应器各1台，夏季精制产品与精制直柴和精制航煤调合，可满足0#国III柴油标准，冬季改质产品与部分降凝直柴和精制航煤调合，可满足-20#国III柴油标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3</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煤油加工</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 xml:space="preserve">直馏煤油进煤柴油加氢精制装置煤油部分加工，生产质量满足GB6537-2006的3#喷气燃料要求，部分精制航煤作为柴油调合组份。 </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4</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石脑油加工</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直馏石脑油与加氢石脑油进连续重整装置加工。混合石脑油经预处理单元脱除杂质并分离出轻重石脑油，其中轻石脑油作为汽油调合组份，重石脑油去连续重整单元生产高辛烷值汽油组份。</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5</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气体加工</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全厂干气送催化裂化装置脱硫并回收轻烃，脱硫后干气进入全厂燃料气管网，剩余干气作为产品外售。</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柴油加氢精制和柴油加氢改质的低分气集中脱硫，送氢提纯装置回收氢气，解析气送燃料气管网。</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企业全厂生产工业流程见图</w:t>
      </w:r>
      <w:r>
        <w:rPr>
          <w:rFonts w:hint="eastAsia" w:ascii="Times New Roman" w:hAnsi="Times New Roman" w:eastAsia="宋体" w:cs="Times New Roman"/>
          <w:sz w:val="24"/>
          <w:lang w:val="en-US" w:eastAsia="zh-CN"/>
        </w:rPr>
        <w:t>3.1.2-1</w:t>
      </w:r>
      <w:r>
        <w:rPr>
          <w:rFonts w:hint="eastAsia" w:ascii="Times New Roman" w:hAnsi="Times New Roman" w:eastAsia="宋体" w:cs="Times New Roman"/>
          <w:sz w:val="24"/>
        </w:rPr>
        <w:t>。</w:t>
      </w:r>
    </w:p>
    <w:p>
      <w:pPr>
        <w:ind w:firstLine="432"/>
        <w:jc w:val="left"/>
        <w:rPr>
          <w:rFonts w:cs="宋体" w:asciiTheme="minorEastAsia" w:hAnsiTheme="minorEastAsia"/>
          <w:sz w:val="24"/>
        </w:rPr>
      </w:pPr>
    </w:p>
    <w:p>
      <w:pPr>
        <w:ind w:firstLine="432"/>
        <w:jc w:val="center"/>
        <w:rPr>
          <w:rFonts w:cs="宋体" w:asciiTheme="minorEastAsia" w:hAnsiTheme="minorEastAsia"/>
          <w:sz w:val="28"/>
          <w:szCs w:val="28"/>
        </w:rPr>
      </w:pPr>
      <w:r>
        <w:rPr>
          <w:rFonts w:hint="eastAsia" w:cs="宋体" w:asciiTheme="minorEastAsia" w:hAnsiTheme="minorEastAsia"/>
          <w:sz w:val="28"/>
          <w:szCs w:val="28"/>
        </w:rPr>
        <w:object>
          <v:shape id="_x0000_i1025" o:spt="75" type="#_x0000_t75" style="height:387pt;width:456pt;" o:ole="t" filled="f" o:preferrelative="t" stroked="f" coordsize="21600,21600">
            <v:path/>
            <v:fill on="f" focussize="0,0"/>
            <v:stroke on="f" joinstyle="miter"/>
            <v:imagedata r:id="rId10" o:title=""/>
            <o:lock v:ext="edit" aspectratio="t"/>
            <w10:wrap type="none"/>
            <w10:anchorlock/>
          </v:shape>
          <o:OLEObject Type="Embed" ProgID="Visio.Drawing.11" ShapeID="_x0000_i1025" DrawAspect="Content" ObjectID="_1468075725" r:id="rId9">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32"/>
        <w:jc w:val="center"/>
        <w:textAlignment w:val="auto"/>
        <w:rPr>
          <w:rFonts w:hint="default" w:ascii="Times New Roman" w:hAnsi="Times New Roman" w:cs="Times New Roman"/>
          <w:b/>
          <w:sz w:val="24"/>
          <w:szCs w:val="24"/>
        </w:rPr>
      </w:pPr>
      <w:r>
        <w:rPr>
          <w:rFonts w:hint="default" w:ascii="Times New Roman" w:hAnsi="Times New Roman" w:cs="Times New Roman"/>
          <w:b/>
          <w:sz w:val="24"/>
          <w:szCs w:val="24"/>
        </w:rPr>
        <w:t>图</w:t>
      </w:r>
      <w:r>
        <w:rPr>
          <w:rFonts w:hint="default" w:ascii="Times New Roman" w:hAnsi="Times New Roman" w:cs="Times New Roman"/>
          <w:b/>
          <w:sz w:val="24"/>
          <w:szCs w:val="24"/>
          <w:lang w:val="en-US" w:eastAsia="zh-CN"/>
        </w:rPr>
        <w:t>3.</w:t>
      </w:r>
      <w:r>
        <w:rPr>
          <w:rFonts w:hint="eastAsia" w:ascii="Times New Roman" w:hAnsi="Times New Roman" w:cs="Times New Roman"/>
          <w:b/>
          <w:sz w:val="24"/>
          <w:szCs w:val="24"/>
          <w:lang w:val="en-US" w:eastAsia="zh-CN"/>
        </w:rPr>
        <w:t>1.2</w:t>
      </w:r>
      <w:r>
        <w:rPr>
          <w:rFonts w:hint="default" w:ascii="Times New Roman" w:hAnsi="Times New Roman" w:cs="Times New Roman"/>
          <w:b/>
          <w:sz w:val="24"/>
          <w:szCs w:val="24"/>
          <w:lang w:val="en-US" w:eastAsia="zh-CN"/>
        </w:rPr>
        <w:t xml:space="preserve">-1 </w:t>
      </w:r>
      <w:r>
        <w:rPr>
          <w:rFonts w:hint="default" w:ascii="Times New Roman" w:hAnsi="Times New Roman" w:cs="Times New Roman"/>
          <w:b/>
          <w:sz w:val="24"/>
          <w:szCs w:val="24"/>
        </w:rPr>
        <w:t xml:space="preserve">  全厂工艺流程图</w:t>
      </w: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3"/>
        <w:rPr>
          <w:rFonts w:hint="eastAsia" w:ascii="Times New Roman" w:hAnsi="Times New Roman" w:eastAsia="宋体" w:cs="Times New Roman"/>
          <w:b/>
          <w:bCs/>
          <w:sz w:val="24"/>
          <w:lang w:eastAsia="zh-CN"/>
        </w:rPr>
      </w:pPr>
      <w:r>
        <w:rPr>
          <w:rFonts w:hint="default" w:ascii="Times New Roman" w:hAnsi="Times New Roman" w:cs="Times New Roman"/>
          <w:b/>
          <w:sz w:val="24"/>
        </w:rPr>
        <w:t>3.</w:t>
      </w:r>
      <w:r>
        <w:rPr>
          <w:rFonts w:hint="eastAsia" w:ascii="Times New Roman" w:hAnsi="Times New Roman" w:cs="Times New Roman"/>
          <w:b/>
          <w:sz w:val="24"/>
          <w:lang w:val="en-US" w:eastAsia="zh-CN"/>
        </w:rPr>
        <w:t>1</w:t>
      </w:r>
      <w:r>
        <w:rPr>
          <w:rFonts w:hint="default" w:ascii="Times New Roman" w:hAnsi="Times New Roman" w:cs="Times New Roman"/>
          <w:b/>
          <w:sz w:val="24"/>
        </w:rPr>
        <w:t>.</w:t>
      </w:r>
      <w:r>
        <w:rPr>
          <w:rFonts w:hint="eastAsia" w:ascii="Times New Roman" w:hAnsi="Times New Roman" w:cs="Times New Roman"/>
          <w:b/>
          <w:sz w:val="24"/>
          <w:lang w:val="en-US" w:eastAsia="zh-CN"/>
        </w:rPr>
        <w:t>2</w:t>
      </w:r>
      <w:r>
        <w:rPr>
          <w:rFonts w:hint="default" w:ascii="Times New Roman" w:hAnsi="Times New Roman" w:cs="Times New Roman"/>
          <w:b/>
          <w:sz w:val="24"/>
        </w:rPr>
        <w:t>.1</w:t>
      </w:r>
      <w:r>
        <w:rPr>
          <w:rFonts w:hint="eastAsia" w:ascii="Times New Roman" w:hAnsi="Times New Roman" w:cs="Times New Roman"/>
          <w:b/>
          <w:bCs/>
          <w:sz w:val="24"/>
          <w:lang w:eastAsia="zh-CN"/>
        </w:rPr>
        <w:t>炼油一部</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cs="Times New Roman"/>
          <w:sz w:val="24"/>
          <w:lang w:eastAsia="zh-CN"/>
        </w:rPr>
        <w:t>炼油一部</w:t>
      </w:r>
      <w:r>
        <w:rPr>
          <w:rFonts w:hint="eastAsia" w:ascii="Times New Roman" w:hAnsi="Times New Roman" w:eastAsia="宋体" w:cs="Times New Roman"/>
          <w:sz w:val="24"/>
        </w:rPr>
        <w:t>主要包括500万吨/年常压装置，280万吨/年催化裂化装置，50万吨/年气体分馏装置</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后改扩建至65</w:t>
      </w:r>
      <w:r>
        <w:rPr>
          <w:rFonts w:hint="default" w:ascii="Times New Roman" w:hAnsi="Times New Roman" w:cs="Times New Roman"/>
          <w:sz w:val="24"/>
          <w:szCs w:val="24"/>
        </w:rPr>
        <w:t>万吨/年</w:t>
      </w:r>
      <w:r>
        <w:rPr>
          <w:rFonts w:hint="eastAsia" w:ascii="Times New Roman" w:hAnsi="Times New Roman" w:cs="Times New Roman"/>
          <w:sz w:val="24"/>
          <w:szCs w:val="24"/>
          <w:lang w:eastAsia="zh-CN"/>
        </w:rPr>
        <w:t>）</w:t>
      </w:r>
      <w:r>
        <w:rPr>
          <w:rFonts w:hint="eastAsia" w:ascii="Times New Roman" w:hAnsi="Times New Roman" w:eastAsia="宋体" w:cs="Times New Roman"/>
          <w:sz w:val="24"/>
        </w:rPr>
        <w:t>，8万吨/年MTBE装置</w:t>
      </w:r>
      <w:r>
        <w:rPr>
          <w:rFonts w:hint="eastAsia" w:ascii="Times New Roman" w:hAnsi="Times New Roman" w:cs="Times New Roman"/>
          <w:sz w:val="24"/>
          <w:lang w:eastAsia="zh-CN"/>
        </w:rPr>
        <w:t>，</w:t>
      </w:r>
      <w:r>
        <w:rPr>
          <w:rFonts w:hint="default" w:ascii="Times New Roman" w:hAnsi="Times New Roman" w:cs="Times New Roman" w:eastAsiaTheme="minorEastAsia"/>
          <w:snapToGrid w:val="0"/>
          <w:kern w:val="0"/>
          <w:sz w:val="24"/>
          <w:szCs w:val="24"/>
          <w:lang w:val="en-US" w:eastAsia="zh-CN" w:bidi="ar-SA"/>
        </w:rPr>
        <w:t>5万吨/年丙烷脱氢装置</w:t>
      </w:r>
      <w:r>
        <w:rPr>
          <w:rFonts w:hint="eastAsia" w:ascii="Times New Roman" w:hAnsi="Times New Roman" w:eastAsia="宋体" w:cs="Times New Roman"/>
          <w:sz w:val="24"/>
        </w:rPr>
        <w:t>。</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b/>
          <w:bCs/>
          <w:sz w:val="24"/>
        </w:rPr>
      </w:pPr>
      <w:r>
        <w:rPr>
          <w:rFonts w:hint="eastAsia" w:ascii="Times New Roman" w:hAnsi="Times New Roman" w:eastAsia="宋体" w:cs="Times New Roman"/>
          <w:b/>
          <w:bCs/>
          <w:sz w:val="24"/>
        </w:rPr>
        <w:t>1、常压蒸馏装置</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本装置的进料为长庆原油、二连原油、塔木察格原油组成的混合原油，年加工能力500万吨/年。装置主要由原油电脱盐、换热网络、闪蒸塔、常压塔等部分组成。装置的主要产品为常顶干气、常顶石脑油、常一线航煤馏分、常二、三线柴油馏分油及常压渣油。其中常顶干气经压缩机升压后送至催化V203回收；常顶石脑油送至连续重整装置做重整原料；常一线馏分油送至煤油加氢精制装置做原料、常二三线馏分油送至柴油加氢精制装置做原料；常压渣油送至催化裂化装置做原料。</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1</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工艺流程</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约40℃的原油由原油泵抽入装置，先与初、常顶的油气进行换热，然后分四路进入换热网络与本装置的热油品进行换热至130℃左右进入电脱盐进行脱盐脱水。</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电脱盐系统设二级电脱盐，经过脱盐脱水后的原油分二路进入换热网络，换热加热至225℃，进入闪蒸塔进行初步分馏。在闪蒸塔大部分的石脑油被分离出来，一部分作为石脑油送出装置，另一部分作为冷回流返回闪蒸塔顶。</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未凝的油气引至初常顶气压缩机入口分液罐，闪蒸塔设一条侧线，以液相抽出直接送到常压塔常一中返塔线上。初底油由泵自闪蒸塔底抽出送入换热网络换热，换热终温约300℃进入常压炉加热至约360℃送入常压塔进行分馏。</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常压塔设三条侧线、两个中段回流和一个顶循环回流，常顶设冷凝冷却系统。常顶油气经与原油换热、空冷冷却至60℃进入常顶回流罐，一部分作为塔顶回流，另一部分继续冷凝冷却至40℃进入常顶产品罐，冷凝的油品作为石脑油送出装置。未凝的油气引至常顶气压缩机入口分液罐。常压塔的常一线作石脑油、常二线和常三线作柴油馏分，经换热冷却之后送出装置，常压重油由常底泵抽出经换热送至催化裂化装置。</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闪蒸塔、常压塔顶设有气体压缩机系统，升压后送至燃料气系统。</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2</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装置操作条件</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装置主要操作条件见表</w:t>
      </w:r>
      <w:r>
        <w:rPr>
          <w:rFonts w:hint="eastAsia" w:ascii="Times New Roman" w:hAnsi="Times New Roman" w:eastAsia="宋体" w:cs="Times New Roman"/>
          <w:sz w:val="24"/>
          <w:lang w:val="en-US" w:eastAsia="zh-CN"/>
        </w:rPr>
        <w:t>3.1.2-1</w:t>
      </w:r>
      <w:r>
        <w:rPr>
          <w:rFonts w:hint="eastAsia" w:ascii="Times New Roman" w:hAnsi="Times New Roman" w:eastAsia="宋体" w:cs="Times New Roman"/>
          <w:sz w:val="24"/>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cs="宋体" w:asciiTheme="minorEastAsia" w:hAnsiTheme="minorEastAsia"/>
          <w:b/>
          <w:sz w:val="22"/>
        </w:rPr>
      </w:pPr>
      <w:r>
        <w:rPr>
          <w:rFonts w:hint="eastAsia" w:cs="宋体" w:asciiTheme="minorEastAsia" w:hAnsiTheme="minorEastAsia"/>
          <w:b/>
          <w:sz w:val="22"/>
        </w:rPr>
        <w:t>表</w:t>
      </w:r>
      <w:r>
        <w:rPr>
          <w:rFonts w:hint="eastAsia" w:cs="宋体" w:asciiTheme="minorEastAsia" w:hAnsiTheme="minorEastAsia"/>
          <w:b/>
          <w:sz w:val="22"/>
          <w:lang w:val="en-US" w:eastAsia="zh-CN"/>
        </w:rPr>
        <w:t>3.1.2-1</w:t>
      </w:r>
      <w:r>
        <w:rPr>
          <w:rFonts w:hint="eastAsia" w:cs="宋体" w:asciiTheme="minorEastAsia" w:hAnsiTheme="minorEastAsia"/>
          <w:b/>
          <w:sz w:val="22"/>
        </w:rPr>
        <w:t xml:space="preserve">   常压蒸馏装置主要操作条件表</w:t>
      </w:r>
    </w:p>
    <w:tbl>
      <w:tblPr>
        <w:tblStyle w:val="21"/>
        <w:tblW w:w="4998"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684"/>
        <w:gridCol w:w="2271"/>
        <w:gridCol w:w="682"/>
        <w:gridCol w:w="909"/>
        <w:gridCol w:w="2042"/>
        <w:gridCol w:w="682"/>
        <w:gridCol w:w="1193"/>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序号</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名称</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单位</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指标</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名称</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单位</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指标</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原油进装置温度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21</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常三线抽出温度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318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原油进装置流量</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kg/h</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595238</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常顶石脑油流量</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kg/h</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67143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原油电脱盐温度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125</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常一线油流量</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kg/h</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31191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原油电脱盐操作压力</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MPa</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1.60</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常二线油流量</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kg/h</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85000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5</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常压炉入口温度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322</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常三线油流量</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kg/h</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78809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6</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常压炉出口温度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365</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常顶循油抽出温度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139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7</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闪蒸塔进料温度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200</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常顶循油返回温度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8</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闪蒸塔顶压力</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MPa</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0.08</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常顶循油循环量</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kg/h</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217232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9</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闪蒸塔顶温度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193</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常一中油抽出温度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184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10</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闪蒸塔底温度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193</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常一中油返回温度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134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11</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常压塔顶压力</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MPa</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0.07</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常一中油循环量</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kg/h</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381584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12</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常压塔顶温度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125</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常二中油抽出温度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275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13</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常压塔底温度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358</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常二中油返回温度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205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14</w:t>
            </w:r>
          </w:p>
        </w:tc>
        <w:tc>
          <w:tcPr>
            <w:tcW w:w="134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常一线抽出温度</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53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196</w:t>
            </w:r>
          </w:p>
        </w:tc>
        <w:tc>
          <w:tcPr>
            <w:tcW w:w="120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常二中油循环量</w:t>
            </w:r>
          </w:p>
        </w:tc>
        <w:tc>
          <w:tcPr>
            <w:tcW w:w="403"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kg/h</w:t>
            </w:r>
          </w:p>
        </w:tc>
        <w:tc>
          <w:tcPr>
            <w:tcW w:w="70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300965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404" w:type="pct"/>
            <w:tcBorders>
              <w:tl2br w:val="nil"/>
              <w:tr2bl w:val="nil"/>
            </w:tcBorders>
            <w:vAlign w:val="center"/>
          </w:tcPr>
          <w:p>
            <w:pPr>
              <w:rPr>
                <w:rFonts w:asciiTheme="minorEastAsia" w:hAnsiTheme="minorEastAsia"/>
                <w:kern w:val="0"/>
                <w:sz w:val="18"/>
                <w:szCs w:val="18"/>
              </w:rPr>
            </w:pPr>
            <w:r>
              <w:rPr>
                <w:rFonts w:hint="eastAsia" w:asciiTheme="minorEastAsia" w:hAnsiTheme="minorEastAsia"/>
                <w:kern w:val="0"/>
                <w:sz w:val="18"/>
                <w:szCs w:val="18"/>
              </w:rPr>
              <w:t>15</w:t>
            </w:r>
          </w:p>
        </w:tc>
        <w:tc>
          <w:tcPr>
            <w:tcW w:w="1341" w:type="pct"/>
            <w:tcBorders>
              <w:tl2br w:val="nil"/>
              <w:tr2bl w:val="nil"/>
            </w:tcBorders>
            <w:vAlign w:val="center"/>
          </w:tcPr>
          <w:p>
            <w:pPr>
              <w:rPr>
                <w:rFonts w:asciiTheme="minorEastAsia" w:hAnsiTheme="minorEastAsia"/>
                <w:kern w:val="0"/>
                <w:sz w:val="18"/>
                <w:szCs w:val="18"/>
              </w:rPr>
            </w:pPr>
            <w:r>
              <w:rPr>
                <w:rFonts w:hint="eastAsia" w:asciiTheme="minorEastAsia" w:hAnsiTheme="minorEastAsia"/>
                <w:kern w:val="0"/>
                <w:sz w:val="18"/>
                <w:szCs w:val="18"/>
              </w:rPr>
              <w:t>常二线抽出温度</w:t>
            </w:r>
          </w:p>
        </w:tc>
        <w:tc>
          <w:tcPr>
            <w:tcW w:w="403" w:type="pct"/>
            <w:tcBorders>
              <w:tl2br w:val="nil"/>
              <w:tr2bl w:val="nil"/>
            </w:tcBorders>
            <w:vAlign w:val="center"/>
          </w:tcPr>
          <w:p>
            <w:pPr>
              <w:rPr>
                <w:rFonts w:asciiTheme="minorEastAsia" w:hAnsiTheme="minorEastAsia"/>
                <w:kern w:val="0"/>
                <w:sz w:val="18"/>
                <w:szCs w:val="18"/>
              </w:rPr>
            </w:pPr>
            <w:r>
              <w:rPr>
                <w:rFonts w:hint="eastAsia" w:asciiTheme="minorEastAsia" w:hAnsiTheme="minorEastAsia"/>
                <w:kern w:val="0"/>
                <w:sz w:val="18"/>
                <w:szCs w:val="18"/>
              </w:rPr>
              <w:t>℃</w:t>
            </w:r>
          </w:p>
        </w:tc>
        <w:tc>
          <w:tcPr>
            <w:tcW w:w="537" w:type="pct"/>
            <w:tcBorders>
              <w:tl2br w:val="nil"/>
              <w:tr2bl w:val="nil"/>
            </w:tcBorders>
            <w:vAlign w:val="center"/>
          </w:tcPr>
          <w:p>
            <w:pPr>
              <w:rPr>
                <w:rFonts w:asciiTheme="minorEastAsia" w:hAnsiTheme="minorEastAsia"/>
                <w:kern w:val="0"/>
                <w:sz w:val="18"/>
                <w:szCs w:val="18"/>
              </w:rPr>
            </w:pPr>
            <w:r>
              <w:rPr>
                <w:rFonts w:hint="eastAsia" w:asciiTheme="minorEastAsia" w:hAnsiTheme="minorEastAsia"/>
                <w:kern w:val="0"/>
                <w:sz w:val="18"/>
                <w:szCs w:val="18"/>
              </w:rPr>
              <w:t>217</w:t>
            </w:r>
          </w:p>
        </w:tc>
        <w:tc>
          <w:tcPr>
            <w:tcW w:w="1206" w:type="pct"/>
            <w:tcBorders>
              <w:tl2br w:val="nil"/>
              <w:tr2bl w:val="nil"/>
            </w:tcBorders>
            <w:vAlign w:val="center"/>
          </w:tcPr>
          <w:p>
            <w:pPr>
              <w:rPr>
                <w:rFonts w:asciiTheme="minorEastAsia" w:hAnsiTheme="minorEastAsia"/>
                <w:kern w:val="0"/>
                <w:sz w:val="18"/>
                <w:szCs w:val="18"/>
              </w:rPr>
            </w:pPr>
            <w:r>
              <w:rPr>
                <w:rFonts w:hint="eastAsia" w:asciiTheme="minorEastAsia" w:hAnsiTheme="minorEastAsia"/>
                <w:kern w:val="0"/>
                <w:sz w:val="18"/>
                <w:szCs w:val="18"/>
              </w:rPr>
              <w:t>常压渣油流量</w:t>
            </w:r>
          </w:p>
        </w:tc>
        <w:tc>
          <w:tcPr>
            <w:tcW w:w="403" w:type="pct"/>
            <w:tcBorders>
              <w:tl2br w:val="nil"/>
              <w:tr2bl w:val="nil"/>
            </w:tcBorders>
            <w:vAlign w:val="center"/>
          </w:tcPr>
          <w:p>
            <w:pPr>
              <w:rPr>
                <w:rFonts w:asciiTheme="minorEastAsia" w:hAnsiTheme="minorEastAsia"/>
                <w:kern w:val="0"/>
                <w:sz w:val="18"/>
                <w:szCs w:val="18"/>
              </w:rPr>
            </w:pPr>
            <w:r>
              <w:rPr>
                <w:rFonts w:hint="eastAsia" w:asciiTheme="minorEastAsia" w:hAnsiTheme="minorEastAsia"/>
                <w:kern w:val="0"/>
                <w:sz w:val="18"/>
                <w:szCs w:val="18"/>
              </w:rPr>
              <w:t>kg/h</w:t>
            </w:r>
          </w:p>
        </w:tc>
        <w:tc>
          <w:tcPr>
            <w:tcW w:w="704" w:type="pct"/>
            <w:tcBorders>
              <w:tl2br w:val="nil"/>
              <w:tr2bl w:val="nil"/>
            </w:tcBorders>
            <w:vAlign w:val="center"/>
          </w:tcPr>
          <w:p>
            <w:pPr>
              <w:rPr>
                <w:rFonts w:asciiTheme="minorEastAsia" w:hAnsiTheme="minorEastAsia"/>
                <w:kern w:val="0"/>
                <w:sz w:val="18"/>
                <w:szCs w:val="18"/>
              </w:rPr>
            </w:pPr>
            <w:r>
              <w:rPr>
                <w:rFonts w:hint="eastAsia" w:asciiTheme="minorEastAsia" w:hAnsiTheme="minorEastAsia"/>
                <w:kern w:val="0"/>
                <w:sz w:val="18"/>
                <w:szCs w:val="18"/>
              </w:rPr>
              <w:t>332024</w:t>
            </w:r>
          </w:p>
        </w:tc>
      </w:tr>
    </w:tbl>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3</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原料、辅助材料及产品</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①原料</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装置加工原料为长庆原油、二连原油及塔木察格的混合原油，混合比例为82：14：4（重量），密度通常为0.85g/cm3。</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②辅助材料</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装置的辅助材料主要为破乳剂、缓蚀剂及纯氨等化学药剂，其中破乳剂消耗量为230 t/a，缓蚀剂为14.5t/a，纯氨消耗量为23t/a。</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③产品</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装置的主要产品有直馏石脑油、航煤馏份、直馏柴油馏分和常压渣油等。其中常顶石脑油作为连续重整装置原料，常一线生产航煤馏分作为煤油加氢精制装置原料，常二线、常三线生产直馏柴油馏分作为柴油加氢精制装置原料，常压渣油作为催化裂化装置原料。</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4</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装置的“三废”污染源排放</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本装置废气主要来自常压加热炉燃料燃烧产生的烟气G1，烟气经余热回收系统后，通过80m高烟筒排入大气。主要污染物为SO</w:t>
      </w:r>
      <w:r>
        <w:rPr>
          <w:rFonts w:hint="eastAsia" w:ascii="Times New Roman" w:hAnsi="Times New Roman" w:eastAsia="宋体" w:cs="Times New Roman"/>
          <w:sz w:val="24"/>
          <w:vertAlign w:val="subscript"/>
        </w:rPr>
        <w:t>2</w:t>
      </w:r>
      <w:r>
        <w:rPr>
          <w:rFonts w:hint="eastAsia" w:ascii="Times New Roman" w:hAnsi="Times New Roman" w:eastAsia="宋体" w:cs="Times New Roman"/>
          <w:sz w:val="24"/>
        </w:rPr>
        <w:t>、NO</w:t>
      </w:r>
      <w:r>
        <w:rPr>
          <w:rFonts w:hint="eastAsia" w:ascii="Times New Roman" w:hAnsi="Times New Roman" w:eastAsia="宋体" w:cs="Times New Roman"/>
          <w:sz w:val="24"/>
          <w:vertAlign w:val="subscript"/>
        </w:rPr>
        <w:t>X</w:t>
      </w:r>
      <w:r>
        <w:rPr>
          <w:rFonts w:hint="eastAsia" w:ascii="Times New Roman" w:hAnsi="Times New Roman" w:eastAsia="宋体" w:cs="Times New Roman"/>
          <w:sz w:val="24"/>
        </w:rPr>
        <w:t>、烟尘。</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废水主要是来自地面冲洗等构成的含油废水W1；电脱盐排出的含盐废水W2（经分析该废水中的盐含量只有141mg/L，仍按含油污水考虑）；初顶、常顶回流及产品分离罐排出的含硫污水W3；生活污水等。</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常压装置工艺流程见图</w:t>
      </w:r>
      <w:r>
        <w:rPr>
          <w:rFonts w:hint="eastAsia" w:ascii="Times New Roman" w:hAnsi="Times New Roman" w:eastAsia="宋体" w:cs="Times New Roman"/>
          <w:sz w:val="24"/>
          <w:lang w:val="en-US" w:eastAsia="zh-CN"/>
        </w:rPr>
        <w:t>3.1.2-2</w:t>
      </w:r>
      <w:r>
        <w:rPr>
          <w:rFonts w:hint="eastAsia" w:ascii="Times New Roman" w:hAnsi="Times New Roman" w:eastAsia="宋体" w:cs="Times New Roman"/>
          <w:sz w:val="24"/>
        </w:rPr>
        <w:t>。</w:t>
      </w:r>
    </w:p>
    <w:p>
      <w:pPr>
        <w:spacing w:beforeLines="30" w:afterLines="30"/>
        <w:jc w:val="center"/>
        <w:rPr>
          <w:rFonts w:cs="Times New Roman" w:asciiTheme="minorEastAsia" w:hAnsiTheme="minorEastAsia"/>
          <w:sz w:val="24"/>
        </w:rPr>
      </w:pPr>
      <w:r>
        <w:rPr>
          <w:rFonts w:asciiTheme="minorEastAsia" w:hAnsiTheme="minorEastAsia"/>
          <w:sz w:val="24"/>
          <w:szCs w:val="20"/>
        </w:rPr>
        <w:drawing>
          <wp:inline distT="0" distB="0" distL="0" distR="0">
            <wp:extent cx="5172075" cy="3201035"/>
            <wp:effectExtent l="0" t="0" r="9525" b="18415"/>
            <wp:docPr id="14" name="图片 5" descr="G:\炼油厂\常压蒸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G:\炼油厂\常压蒸馏.png"/>
                    <pic:cNvPicPr>
                      <a:picLocks noChangeAspect="1" noChangeArrowheads="1"/>
                    </pic:cNvPicPr>
                  </pic:nvPicPr>
                  <pic:blipFill>
                    <a:blip r:embed="rId11" cstate="print">
                      <a:extLst>
                        <a:ext uri="{28A0092B-C50C-407E-A947-70E740481C1C}">
                          <a14:useLocalDpi xmlns:a14="http://schemas.microsoft.com/office/drawing/2010/main" val="0"/>
                        </a:ext>
                      </a:extLst>
                    </a:blip>
                    <a:srcRect b="7934"/>
                    <a:stretch>
                      <a:fillRect/>
                    </a:stretch>
                  </pic:blipFill>
                  <pic:spPr>
                    <a:xfrm>
                      <a:off x="0" y="0"/>
                      <a:ext cx="5183026" cy="3208128"/>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图</w:t>
      </w:r>
      <w:r>
        <w:rPr>
          <w:rFonts w:hint="default" w:ascii="Times New Roman" w:hAnsi="Times New Roman" w:eastAsia="宋体" w:cs="Times New Roman"/>
          <w:b/>
          <w:sz w:val="24"/>
          <w:szCs w:val="24"/>
          <w:lang w:val="en-US" w:eastAsia="zh-CN"/>
        </w:rPr>
        <w:t>3.</w:t>
      </w:r>
      <w:r>
        <w:rPr>
          <w:rFonts w:hint="eastAsia" w:ascii="Times New Roman" w:hAnsi="Times New Roman" w:eastAsia="宋体" w:cs="Times New Roman"/>
          <w:b/>
          <w:sz w:val="24"/>
          <w:szCs w:val="24"/>
          <w:lang w:val="en-US" w:eastAsia="zh-CN"/>
        </w:rPr>
        <w:t>1.2</w:t>
      </w:r>
      <w:r>
        <w:rPr>
          <w:rFonts w:hint="default" w:ascii="Times New Roman" w:hAnsi="Times New Roman" w:eastAsia="宋体" w:cs="Times New Roman"/>
          <w:b/>
          <w:sz w:val="24"/>
          <w:szCs w:val="24"/>
          <w:lang w:val="en-US" w:eastAsia="zh-CN"/>
        </w:rPr>
        <w:t>-2</w:t>
      </w:r>
      <w:r>
        <w:rPr>
          <w:rFonts w:hint="default" w:ascii="Times New Roman" w:hAnsi="Times New Roman" w:eastAsia="宋体" w:cs="Times New Roman"/>
          <w:b/>
          <w:sz w:val="24"/>
          <w:szCs w:val="24"/>
        </w:rPr>
        <w:t xml:space="preserve">   常压蒸馏装置工艺流程图</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b/>
          <w:bCs/>
          <w:sz w:val="24"/>
        </w:rPr>
      </w:pPr>
      <w:r>
        <w:rPr>
          <w:rFonts w:hint="eastAsia" w:ascii="Times New Roman" w:hAnsi="Times New Roman" w:eastAsia="宋体" w:cs="Times New Roman"/>
          <w:b/>
          <w:bCs/>
          <w:sz w:val="24"/>
        </w:rPr>
        <w:t>2、催化裂化装置</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本装置的加工原料为来自常压蒸馏装置生产的常压渣油，主要生产产品为催化汽油、催化柴油、液化石油气、催化油浆、干气、焦炭等。催化汽油送至催化汽油加氢装置处理；催化柴油送至柴油加氢改质降凝装置处理；液化石油气送至气体分馏装置作气体分离处理；催化油浆去全厂燃料油罐区做燃料产品外销；干气经脱硫处理后送至PSA装置处理；焦炭作为装置自身的加热用燃料；催化汽油，通过加氢脱硫技术生产低硫汽油组分，使全厂汽油经调合后达到欧Ⅲ、欧IV排放标准的汽油。</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装置主要由反应再生、分馏、吸收稳定、主风机烟气能量回收机组、余热锅炉以及配套产品精制等部分组成。其中产品精制部分主要包括干气脱硫，液化气脱硫及脱硫醇和汽油脱硫醇。</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催化裂化装置设计规模280万吨/年，实际进料量281.8万吨/年，年开工时间8400小时。汽油加氢精制装置设计规模120万吨/年，实际进料115.16万吨/年。装置所用氢气0.16万吨/年，由PSA装置提供。</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(1)主要工艺技术特点</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①反应技术</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采用先进、成熟、可靠的两段提升管技术。该技术具有分段反应、催化接力、短反应时间和大剂油比优点，可以强化整个反应过程的催化作用、抑制过裂化反应，避免不同反应组分的恶性竞争。很好地解决了常规催化裂化提升管反应器的弊端,可以显著改善产物分布，增加装置的操作灵活性。</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②再生技术</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采用快速床－湍流床串联再生形式。用大孔径分布板将一、二密隔开，形成烟气串联再生技术,一再为快速床，烧焦强度高；两器高度较低，两器差压较小，气压机入口压力高；再生效果好，再生剂定碳&lt;0.1%；主风、烟气流程简单，操作简单；系统催化剂藏量少，催化剂平均活性高；配置下流式外取热器，增压风动力消耗少且调节灵活。</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③加氢技术</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采用国外Prime-G+选择性加氢脱硫工艺，该技术具有成熟可靠、脱硫率98%、辛烷值损失小、无含碱水处理污染问题、投资小、工业化应用范围广等优点。</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(2)工艺流程</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⑴催化裂化部分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①反应－再生部分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原料油自装置外进入原料缓冲罐，经原料油泵升压后，再经顶循环油－原料油换热器、原料油－循环油浆换热器加热至200℃左右，分六路经原料油雾化喷嘴进入一段提升管反应器；分馏部分来的回炼油和回炼油浆混合后分四路经回炼油雾化喷嘴进入二段提升管反应器。两段提升管进料在提升管内与690℃～700℃的高温催化剂接触进行原料的升温、汽化及反应。反应油气与待生催化剂在提升管出口处经粗旋风分离器迅速分离，再经单级旋风分离器进一步除去携带的催化剂细粉，最后离开沉降器，进入分馏塔。</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待生催化剂经提升管出口粗旋及沉降器单级旋风分离器料腿进入位于沉降器下部的汽提段，在此与蒸汽逆流接触以置换催化剂所携带的油气。汽提后的催化剂沿待生斜管下流，经待生滑阀进入烧焦罐，在此与再</w:t>
      </w:r>
      <w:r>
        <w:rPr>
          <w:rFonts w:hint="eastAsia" w:asciiTheme="minorEastAsia" w:hAnsiTheme="minorEastAsia"/>
          <w:sz w:val="24"/>
        </w:rPr>
        <w:t>生器二密相来的再生催化剂及外取热器来的催化剂混合烧焦，在催化剂沿烧焦罐向上流动的过程中，烧去大部分焦炭，同时温度升至700℃。含炭较低的催化剂在烧焦罐顶部经大孔分布板进入二密相，最终完成焦炭及CO的燃烧过程。烧焦过程中产生的过剩热量由外取热器取走。再生后的催化剂通过再生</w:t>
      </w:r>
      <w:r>
        <w:rPr>
          <w:rFonts w:hint="eastAsia" w:ascii="Times New Roman" w:hAnsi="Times New Roman" w:eastAsia="宋体" w:cs="Times New Roman"/>
          <w:sz w:val="24"/>
        </w:rPr>
        <w:t>斜管，进入提升管反应器底部，以干气(或蒸汽)作提升介质，完成催化剂加速、整流过程，然后与雾化原料接触。</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再生器烧焦所需的主风由主风机提供，其中部分主风经增压机升压后，分别作为二密相和外取热器流化风。</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再生器烧焦产生的烟气，先经再生器旋风分离器分离其中携带的催化剂，再经三级旋风分离器进一步分离催化剂后，进入烟气轮机膨胀作功，驱动主风机组。烟气出烟气轮机后，进入余热锅炉进一步回收烟气的显热后经烟囱排入大气。</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②分馏部分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由沉降器来的反应油气进入分馏塔底部，通过人字挡板与循环油浆逆流接触，洗涤反应油气携带的催化剂并脱除过热，使油气呈饱和状态进入分馏塔中上部进行分馏。</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分馏塔顶油气经分馏塔顶油气—热水换热器换热后，再经分馏塔顶油气空冷器和分馏塔顶油气冷凝冷却器冷却至40℃，进入分馏塔顶油气分离器进行气液相分离。分离出的粗汽油由粗汽油泵抽出后打入吸收塔作吸收剂。富气进入气压机。酸性水由酸性水泵抽出，作为富气洗涤水送至气压机出口管线。粗汽油和酸性水均有部分去提升管作反应中止剂。</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轻柴油自分馏塔自流至轻柴油汽提塔，汽提后的轻柴油由轻柴油泵抽出，经原料油—轻柴油换热器、轻柴油—富吸收油换热器、轻柴油—热水换热器及轻柴油空冷器冷却至60℃后，一路作为产品直接出装置，另一路经贫吸收油冷却器冷却到40℃送至再吸收塔作吸收剂。</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回炼油自分馏塔自流至回炼油罐，经回炼油泵升压后，一路经过回炼油蒸汽发生器冷却后进入提升管反应器，一路返回分馏塔。</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分馏塔多余的热量分别由顶循环回流、中段循环回流及油浆循环回流取走。顶循环回流自分馏塔抽出，用顶循环油泵升压，经原料油－顶循环油换热器，顶循环油—热水换热器温度降至80℃后返回分馏塔；回炼油自分馏塔28板抽出，经过回炼油蒸汽发生</w:t>
      </w:r>
      <w:r>
        <w:rPr>
          <w:rFonts w:hint="eastAsia" w:asciiTheme="minorEastAsia" w:hAnsiTheme="minorEastAsia"/>
          <w:sz w:val="24"/>
        </w:rPr>
        <w:t>器，温度降到260℃返回分馏塔；中段回流油自分馏塔抽出后，经稳定塔底重沸器、中段</w:t>
      </w:r>
      <w:r>
        <w:rPr>
          <w:rFonts w:hint="eastAsia" w:ascii="Times New Roman" w:hAnsi="Times New Roman" w:eastAsia="宋体" w:cs="Times New Roman"/>
          <w:sz w:val="24"/>
        </w:rPr>
        <w:t>油—热水换热器，温度降至165℃返回分馏塔。油浆自分馏塔底由油浆泵抽出后经原料油—循环油浆换热器换热，再经循环油浆蒸汽发生器发生中压饱和蒸汽后，温度降至280℃，一部分返回分馏塔底。一部分作为产品经产品油浆冷却器冷却至90℃后，直接出装置送至燃料油罐区。必要时回炼油浆可自泵出口直接送至提升管反应器回炼。</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③吸收稳定部分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从分馏塔顶油气分离器来的富气进入气压机进行压缩。气压机出口富气、富气洗涤水、气体分馏装置脱乙烷塔顶的脱吸气和解吸塔顶气汇合一起至压缩富气空冷器冷凝，再与吸收塔底油混合，经压缩富气冷凝冷却器冷却至40℃，进入气压机出口油气分离器进行气、液分离，分离后的气体进入吸收塔用粗汽油及稳定汽油作吸收剂进行吸收，吸收过程放出的热量由两个中段回流取走。贫气至再吸收塔，用轻柴油作吸收剂进一步吸收后，干气自塔顶分出送至工厂燃料系统。</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凝缩油由解吸塔进料泵从气压机出口油气分离器抽出后分成两路，一路直接进入解吸塔顶部，另一路经稳定汽油一凝缩油换热器加热进入解吸塔上部。解吸过程由塔底重沸器提供热量，以解吸出凝缩油中的C3组分。解吸塔重沸器采用低压蒸汽作热源，脱乙烷汽油由塔底经稳定塔进料泵抽出，经稳定塔进料换热器与稳定汽油换热后送至稳定塔进行多组分分馏，稳定塔底重沸器由分馏塔中段循环回流油提供热量。</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液化石油气从塔顶馏出，经稳定塔顶油气冷凝冷却器冷至40℃后进入稳定塔顶回流罐。液化石油气经稳定塔顶回流油泵抽出后，一部分作稳定塔回流，其余作为液化石油气产品送至产品精制部分脱硫及脱硫醇。</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稳定汽油从稳定塔底流出，经稳定塔进料换热器，稳定汽油—凝缩油换热器，稳定汽油—除盐水换热器，分别与脱乙烷汽油、凝缩油、热水换热后，再经稳定汽油冷却器冷却至40℃，一部分由稳定汽油泵抽出送至吸收塔作补充吸收剂，其余部分送至催化汽油加氢精制装置。</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气压机出口油气分离器分离出的酸性水，送至酸性水汽提装置处理。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(3)产品精制</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由于使用了硫转移助剂，催化原料中的大部分硫都集中到干气、液化气和汽油中。</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①干气、液化气脱硫</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采用醇胺法脱硫技术，选用复合型甲基二乙醇胺(MDEA)溶剂。该溶剂对H2S有较高的选择吸收性能，溶剂再生后酸性气中硫化氢浓度可以达到70%（V）以上；溶剂损失量小、化学性质稳定、降解物少；腐蚀性轻；装置能耗低。</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含硫干气、液化石油气分别进入干气、液化石油气分离罐，再进入干气、液化石油气脱硫塔下部，自塔底由下而上与来自塔顶的MDEA脱硫剂贫液逆向接触。含硫干气、液化石油气中的硫化氢和部分二氧化碳即被溶液所吸收，脱硫后的净化干气进入全厂燃料气管网，脱硫后的液化石油气自塔顶流出进入液化石油气脱硫醇部分，含硫化氢的富MDEA溶液自塔底送至硫磺的溶剂再生部分进行再生。</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②液化气脱硫醇</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采用国内固定床无碱脱硫工艺技术，该技术是以金属为活性组分的新型高效脱硫剂，利用固定床脱除液化气中硫醇。具有投资少、流程简单、三废排放量少、不产生碱渣等优点，固体脱硫剂可回收或填埋处理。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经MDEA醇胺法脱除H2S的液化气，进入固定床脱硫醇部分。液化气首先进入水洗沉降罐水洗，再经胺液过滤器进一步分离出携带的胺液，以防夹带胺液中的H2S加速脱硫剂的失活。除去胺液的液化气进入装有JX-6B羟基硫脱硫剂的固定床底部，液化气中羟基硫COS等经JX-6B脱硫剂转化为硫化氢，再经精脱硫反应器利用JX-2B脱硫剂，精脱除掉硫化氢及危害JX-2A硫醇转化催化剂的其它有害物质。</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精脱除硫化氢的液化气，进入醇硫转化反应器下部，在JX-2A脱硫剂作用下，利用溶解在液化气中的溶解氧将液化气中低分子硫醇转化为二硫化物，保证液化气产品铜片腐蚀合格和总硫合格。</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③汽油脱硫醇</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自催化裂化吸收稳定部分来的汽油，经汽油-助剂混合器与助脱硫剂混合后进入汽油脱硫化氢反应器，汽油脱硫化氢反应器内装有预制脱硫剂，汽油中的硫化氢被脱除，助脱硫剂按汽油量的50～150ppm（有效浓度）加入。脱除硫化氢后的汽油经汽油/空气混合器与空气、助催化剂混合后，进入汽油脱硫醇反应器，反应器内装有预制脱硫醇催化剂，在催化剂的作用下，硫醇被氧化成二硫化物并溶于汽油中，在助催化剂作用下，有利于将高分子硫醇氧化为二硫化物，从而确保汽油产品博士试验合格，助催化剂按汽油量的50～150ppm（有效浓度）加入。</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脱硫醇后的汽油所夹带的尾气在汽油沉降罐（中沉降分离，经汽油成品泵，并由砂滤塔进一步分离水份等杂质后，加入防胶剂、金属钝化剂，送至成品罐区。</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自汽油沉降罐顶部分离出的尾气，经尾气分液罐分液后，送至尾气油气回收设施回收油分后，尾气排空。</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(4)装置操作条件</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装置的操作条件见表</w:t>
      </w:r>
      <w:r>
        <w:rPr>
          <w:rFonts w:hint="eastAsia" w:ascii="Times New Roman" w:hAnsi="Times New Roman" w:eastAsia="宋体" w:cs="Times New Roman"/>
          <w:sz w:val="24"/>
          <w:lang w:val="en-US" w:eastAsia="zh-CN"/>
        </w:rPr>
        <w:t>3.1.2-2</w:t>
      </w:r>
      <w:r>
        <w:rPr>
          <w:rFonts w:hint="eastAsia" w:ascii="Times New Roman" w:hAnsi="Times New Roman" w:eastAsia="宋体" w:cs="Times New Roman"/>
          <w:sz w:val="24"/>
        </w:rPr>
        <w:t>～</w:t>
      </w:r>
      <w:r>
        <w:rPr>
          <w:rFonts w:hint="eastAsia" w:ascii="Times New Roman" w:hAnsi="Times New Roman" w:eastAsia="宋体" w:cs="Times New Roman"/>
          <w:sz w:val="24"/>
          <w:lang w:val="en-US" w:eastAsia="zh-CN"/>
        </w:rPr>
        <w:t>3.1.2-5</w:t>
      </w:r>
      <w:r>
        <w:rPr>
          <w:rFonts w:hint="eastAsia" w:ascii="Times New Roman" w:hAnsi="Times New Roman" w:eastAsia="宋体" w:cs="Times New Roman"/>
          <w:sz w:val="24"/>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宋体" w:cs="Times New Roman"/>
          <w:b/>
          <w:sz w:val="24"/>
          <w:szCs w:val="2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宋体" w:cs="Times New Roman"/>
          <w:b/>
          <w:sz w:val="24"/>
          <w:szCs w:val="24"/>
        </w:r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w:t>
      </w:r>
      <w:r>
        <w:rPr>
          <w:rFonts w:hint="default" w:ascii="Times New Roman" w:hAnsi="Times New Roman" w:eastAsia="宋体" w:cs="Times New Roman"/>
          <w:b/>
          <w:sz w:val="24"/>
          <w:szCs w:val="24"/>
          <w:lang w:val="en-US" w:eastAsia="zh-CN"/>
        </w:rPr>
        <w:t>3.</w:t>
      </w:r>
      <w:r>
        <w:rPr>
          <w:rFonts w:hint="eastAsia" w:ascii="Times New Roman" w:hAnsi="Times New Roman" w:eastAsia="宋体" w:cs="Times New Roman"/>
          <w:b/>
          <w:sz w:val="24"/>
          <w:szCs w:val="24"/>
          <w:lang w:val="en-US" w:eastAsia="zh-CN"/>
        </w:rPr>
        <w:t>1.2</w:t>
      </w:r>
      <w:r>
        <w:rPr>
          <w:rFonts w:hint="default" w:ascii="Times New Roman" w:hAnsi="Times New Roman" w:eastAsia="宋体" w:cs="Times New Roman"/>
          <w:b/>
          <w:sz w:val="24"/>
          <w:szCs w:val="24"/>
          <w:lang w:val="en-US" w:eastAsia="zh-CN"/>
        </w:rPr>
        <w:t>-2</w:t>
      </w:r>
      <w:r>
        <w:rPr>
          <w:rFonts w:hint="default" w:ascii="Times New Roman" w:hAnsi="Times New Roman" w:eastAsia="宋体" w:cs="Times New Roman"/>
          <w:b/>
          <w:sz w:val="24"/>
          <w:szCs w:val="24"/>
        </w:rPr>
        <w:t xml:space="preserve">  </w:t>
      </w:r>
      <w:r>
        <w:rPr>
          <w:rFonts w:hint="default" w:ascii="Times New Roman" w:hAnsi="Times New Roman" w:eastAsia="宋体" w:cs="Times New Roman"/>
          <w:b/>
          <w:sz w:val="24"/>
          <w:szCs w:val="24"/>
          <w:lang w:val="en-US" w:eastAsia="zh-CN"/>
        </w:rPr>
        <w:t xml:space="preserve"> </w:t>
      </w:r>
      <w:r>
        <w:rPr>
          <w:rFonts w:hint="default" w:ascii="Times New Roman" w:hAnsi="Times New Roman" w:eastAsia="宋体" w:cs="Times New Roman"/>
          <w:b/>
          <w:sz w:val="24"/>
          <w:szCs w:val="24"/>
        </w:rPr>
        <w:t>催化裂化装置反应部分主要操作条件表</w:t>
      </w:r>
    </w:p>
    <w:tbl>
      <w:tblPr>
        <w:tblStyle w:val="21"/>
        <w:tblW w:w="4997"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877"/>
        <w:gridCol w:w="2483"/>
        <w:gridCol w:w="1705"/>
        <w:gridCol w:w="1698"/>
        <w:gridCol w:w="1698"/>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序号</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单位</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数值</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备注</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沉降器压力</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MPa（A）</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0.330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二反出口反应温度</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一反出口反应温度</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510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新鲜原料油量</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kg/h</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332024</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原料油预热温度</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180~220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回炼比</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0.05</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7</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两器间催化剂循环量</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t/h</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1799</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剂油比（对新鲜进料）</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5.42</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提升管预提升段内径</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mm</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900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衬里后内径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10</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提升管预提升段线速</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m/s</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3.02</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11</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提升管第一反应区内径</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mm</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1440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衬里后内径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第一反应区油气平均线速</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m/s</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7.98</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13</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第一反应区油气停留时间</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s</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1.25</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14</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提升管第二反应区内径</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mm</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3400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衬里后内径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15</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第二反应区油气平均线速</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m/s</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2.45</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16</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第二反应器油气停留时间</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s</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4.49</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17</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第二反应区重时空速</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h-1</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15.0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18</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二反后部输送管内径</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mm</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1360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衬里后内径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19</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二反后部输送管线速</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m/s</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18.50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二反后部油气停留时间</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s</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0.81</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21</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汽提蒸汽量</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kg/h</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6500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22</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雾化蒸汽量</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kg/h</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17000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23</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防焦蒸汽量</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kg/h</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800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24</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预提升干气量</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kg/h</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5000</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25</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沉降器粗旋组数</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26</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沉降器粗旋线速</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m/s</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17</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27</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沉降器单级旋分组数</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28</w:t>
            </w:r>
          </w:p>
        </w:tc>
        <w:tc>
          <w:tcPr>
            <w:tcW w:w="146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沉降器单级旋分线速</w:t>
            </w:r>
          </w:p>
        </w:tc>
        <w:tc>
          <w:tcPr>
            <w:tcW w:w="100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m/s</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21</w:t>
            </w:r>
          </w:p>
        </w:tc>
        <w:tc>
          <w:tcPr>
            <w:tcW w:w="100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bl>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sz w:val="24"/>
          <w:szCs w:val="24"/>
        </w:rPr>
      </w:pPr>
      <w:r>
        <w:rPr>
          <w:rFonts w:hint="eastAsia" w:ascii="Times New Roman" w:hAnsi="Times New Roman" w:eastAsia="宋体" w:cs="Times New Roman"/>
          <w:b/>
          <w:sz w:val="24"/>
          <w:szCs w:val="24"/>
        </w:rPr>
        <w:t>表</w:t>
      </w:r>
      <w:r>
        <w:rPr>
          <w:rFonts w:hint="eastAsia" w:ascii="Times New Roman" w:hAnsi="Times New Roman" w:eastAsia="宋体" w:cs="Times New Roman"/>
          <w:b/>
          <w:sz w:val="24"/>
          <w:szCs w:val="24"/>
          <w:lang w:val="en-US" w:eastAsia="zh-CN"/>
        </w:rPr>
        <w:t>3.1.2-3</w:t>
      </w:r>
      <w:r>
        <w:rPr>
          <w:rFonts w:hint="eastAsia" w:ascii="Times New Roman" w:hAnsi="Times New Roman" w:eastAsia="宋体" w:cs="Times New Roman"/>
          <w:b/>
          <w:sz w:val="24"/>
          <w:szCs w:val="24"/>
        </w:rPr>
        <w:t xml:space="preserve">  催化裂化装置再生部分主要操作条件表</w:t>
      </w:r>
    </w:p>
    <w:tbl>
      <w:tblPr>
        <w:tblStyle w:val="21"/>
        <w:tblW w:w="4998"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891"/>
        <w:gridCol w:w="2953"/>
        <w:gridCol w:w="1661"/>
        <w:gridCol w:w="1185"/>
        <w:gridCol w:w="1773"/>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序号</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项目</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单位</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数据</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备注</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再生器压力</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MPa（A）</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0.345</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密相温度</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685</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稀相温度</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690</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烧焦罐内径</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mm</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9200</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衬里后内径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5</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稀相内径</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mm</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15400</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衬里后内径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6</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烧焦量</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kg/h</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29882</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7</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主风量</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Nm</w:t>
            </w:r>
            <w:r>
              <w:rPr>
                <w:rFonts w:hint="eastAsia" w:cs="宋体" w:asciiTheme="minorEastAsia" w:hAnsiTheme="minorEastAsia"/>
                <w:kern w:val="0"/>
                <w:sz w:val="18"/>
                <w:szCs w:val="18"/>
                <w:vertAlign w:val="superscript"/>
              </w:rPr>
              <w:t>3</w:t>
            </w:r>
            <w:r>
              <w:rPr>
                <w:rFonts w:hint="eastAsia" w:cs="宋体" w:asciiTheme="minorEastAsia" w:hAnsiTheme="minorEastAsia"/>
                <w:kern w:val="0"/>
                <w:sz w:val="18"/>
                <w:szCs w:val="18"/>
              </w:rPr>
              <w:t>/min</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6300</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湿基</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8</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两器间催化剂循环量</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t/h</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1799</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9</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烟气过剩氧</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V%</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3.9</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10</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烧焦罐线速</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m/s</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~1.69</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11</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稀相线速</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m/s</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~0.62</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12</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旋分组数</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18</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13</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一级旋分入口线速</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m/s</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20</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14</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二级旋分入口线速</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m/s</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22</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26"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15</w:t>
            </w:r>
          </w:p>
        </w:tc>
        <w:tc>
          <w:tcPr>
            <w:tcW w:w="1744"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再生器总取热负荷</w:t>
            </w:r>
          </w:p>
        </w:tc>
        <w:tc>
          <w:tcPr>
            <w:tcW w:w="981"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kW</w:t>
            </w:r>
          </w:p>
        </w:tc>
        <w:tc>
          <w:tcPr>
            <w:tcW w:w="700"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113267</w:t>
            </w:r>
          </w:p>
        </w:tc>
        <w:tc>
          <w:tcPr>
            <w:tcW w:w="1047" w:type="pct"/>
            <w:tcBorders>
              <w:tl2br w:val="nil"/>
              <w:tr2bl w:val="nil"/>
            </w:tcBorders>
            <w:vAlign w:val="center"/>
          </w:tcPr>
          <w:p>
            <w:pPr>
              <w:autoSpaceDE w:val="0"/>
              <w:autoSpaceDN w:val="0"/>
              <w:adjustRightInd w:val="0"/>
              <w:jc w:val="center"/>
              <w:rPr>
                <w:rFonts w:cs="宋体" w:asciiTheme="minorEastAsia" w:hAnsiTheme="minorEastAsia"/>
                <w:kern w:val="0"/>
                <w:sz w:val="18"/>
                <w:szCs w:val="18"/>
              </w:rPr>
            </w:pPr>
          </w:p>
        </w:tc>
      </w:tr>
    </w:tbl>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Times New Roman"/>
          <w:b/>
          <w:sz w:val="24"/>
          <w:szCs w:val="24"/>
        </w:rPr>
      </w:pPr>
      <w:r>
        <w:rPr>
          <w:rFonts w:hint="eastAsia" w:ascii="Times New Roman" w:hAnsi="Times New Roman" w:eastAsia="宋体" w:cs="Times New Roman"/>
          <w:b/>
          <w:sz w:val="24"/>
          <w:szCs w:val="24"/>
        </w:rPr>
        <w:t>表</w:t>
      </w:r>
      <w:r>
        <w:rPr>
          <w:rFonts w:hint="eastAsia" w:ascii="Times New Roman" w:hAnsi="Times New Roman" w:eastAsia="宋体" w:cs="Times New Roman"/>
          <w:b/>
          <w:sz w:val="24"/>
          <w:szCs w:val="24"/>
          <w:lang w:val="en-US" w:eastAsia="zh-CN"/>
        </w:rPr>
        <w:t xml:space="preserve">3.1.2-4   </w:t>
      </w:r>
      <w:r>
        <w:rPr>
          <w:rFonts w:hint="eastAsia" w:ascii="Times New Roman" w:hAnsi="Times New Roman" w:eastAsia="宋体" w:cs="Times New Roman"/>
          <w:b/>
          <w:sz w:val="24"/>
          <w:szCs w:val="24"/>
        </w:rPr>
        <w:t>催化裂化装置分馏及吸收稳定部分主要操作条件表</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68"/>
        <w:gridCol w:w="5607"/>
        <w:gridCol w:w="16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序号</w:t>
            </w:r>
          </w:p>
        </w:tc>
        <w:tc>
          <w:tcPr>
            <w:tcW w:w="3312" w:type="pct"/>
            <w:tcBorders>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名称</w:t>
            </w:r>
          </w:p>
        </w:tc>
        <w:tc>
          <w:tcPr>
            <w:tcW w:w="997" w:type="pct"/>
            <w:tcBorders>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设计数据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一</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分馏部分</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（一）</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分馏塔</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分馏塔顶温度，℃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分馏塔底温度，℃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分馏塔顶压，MPa（A）</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0.305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分馏塔顶油气分离器压力，MPa</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0.27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二</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气压机</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气压机负荷，Nm3/min（冬季工况）</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1063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气压机出口压力，MPa</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三</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吸收-稳定部分</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（一）</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吸收塔</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吸收塔顶温度，℃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吸收塔底温度，℃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吸收塔顶压，MPa（A）</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（二）</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解吸塔</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解吸塔顶温度，℃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51.7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解吸塔底温度，℃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132.4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解吸塔顶压，MPa（A）</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解吸塔中间重沸器进口/出口温度，℃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81.8/92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5</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解吸塔底重沸器（一）进口/出口温度，℃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106.8/115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5</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解吸塔底重沸器进口/出口温度，℃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132.4/154.6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（三）</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再吸收塔</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再吸收塔顶温度，℃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再吸收塔底温度，℃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54.0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再吸收塔顶压，MPa（A）</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（四）</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·稳定塔</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稳定塔顶温度，℃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62.3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稳定塔底温度，℃</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w:t>
            </w:r>
          </w:p>
        </w:tc>
        <w:tc>
          <w:tcPr>
            <w:tcW w:w="331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稳定塔顶压，MPa（A）</w:t>
            </w:r>
          </w:p>
        </w:tc>
        <w:tc>
          <w:tcPr>
            <w:tcW w:w="99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690" w:type="pct"/>
            <w:tcBorders>
              <w:top w:val="dotted" w:color="auto" w:sz="4" w:space="0"/>
              <w:left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w:t>
            </w:r>
          </w:p>
        </w:tc>
        <w:tc>
          <w:tcPr>
            <w:tcW w:w="3312" w:type="pct"/>
            <w:tcBorders>
              <w:top w:val="dotted" w:color="auto" w:sz="4" w:space="0"/>
              <w:left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稳定塔底重沸器进口/出口温度，℃</w:t>
            </w:r>
          </w:p>
        </w:tc>
        <w:tc>
          <w:tcPr>
            <w:tcW w:w="997" w:type="pct"/>
            <w:tcBorders>
              <w:top w:val="dotted" w:color="auto" w:sz="4" w:space="0"/>
              <w:left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180/191</w:t>
            </w:r>
          </w:p>
        </w:tc>
      </w:tr>
    </w:tbl>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Times New Roman"/>
          <w:b/>
          <w:sz w:val="24"/>
          <w:szCs w:val="24"/>
        </w:rPr>
      </w:pPr>
      <w:r>
        <w:rPr>
          <w:rFonts w:hint="eastAsia" w:ascii="Times New Roman" w:hAnsi="Times New Roman" w:eastAsia="宋体" w:cs="Times New Roman"/>
          <w:b/>
          <w:sz w:val="24"/>
          <w:szCs w:val="24"/>
        </w:rPr>
        <w:t>表</w:t>
      </w:r>
      <w:r>
        <w:rPr>
          <w:rFonts w:hint="eastAsia" w:ascii="Times New Roman" w:hAnsi="Times New Roman" w:eastAsia="宋体" w:cs="Times New Roman"/>
          <w:b/>
          <w:sz w:val="24"/>
          <w:szCs w:val="24"/>
          <w:lang w:val="en-US" w:eastAsia="zh-CN"/>
        </w:rPr>
        <w:t xml:space="preserve">3.1.2-5 </w:t>
      </w:r>
      <w:r>
        <w:rPr>
          <w:rFonts w:hint="eastAsia" w:ascii="Times New Roman" w:hAnsi="Times New Roman" w:eastAsia="宋体" w:cs="Times New Roman"/>
          <w:b/>
          <w:sz w:val="24"/>
          <w:szCs w:val="24"/>
        </w:rPr>
        <w:t xml:space="preserve">  催化裂化装置产品精制部分主要操作条件表</w:t>
      </w:r>
    </w:p>
    <w:tbl>
      <w:tblPr>
        <w:tblStyle w:val="21"/>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800"/>
        <w:gridCol w:w="2914"/>
        <w:gridCol w:w="799"/>
        <w:gridCol w:w="2357"/>
        <w:gridCol w:w="159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tcBorders>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序号</w:t>
            </w:r>
          </w:p>
        </w:tc>
        <w:tc>
          <w:tcPr>
            <w:tcW w:w="2193" w:type="pct"/>
            <w:gridSpan w:val="2"/>
            <w:tcBorders>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项目</w:t>
            </w:r>
          </w:p>
        </w:tc>
        <w:tc>
          <w:tcPr>
            <w:tcW w:w="1392" w:type="pct"/>
            <w:tcBorders>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操作压力MPa</w:t>
            </w:r>
          </w:p>
        </w:tc>
        <w:tc>
          <w:tcPr>
            <w:tcW w:w="941" w:type="pct"/>
            <w:tcBorders>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操作温度℃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vMerge w:val="restar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w:t>
            </w:r>
          </w:p>
        </w:tc>
        <w:tc>
          <w:tcPr>
            <w:tcW w:w="1721" w:type="pct"/>
            <w:vMerge w:val="restar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干气脱硫塔</w:t>
            </w:r>
          </w:p>
        </w:tc>
        <w:tc>
          <w:tcPr>
            <w:tcW w:w="47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塔顶</w:t>
            </w:r>
          </w:p>
        </w:tc>
        <w:tc>
          <w:tcPr>
            <w:tcW w:w="139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1.22</w:t>
            </w:r>
          </w:p>
        </w:tc>
        <w:tc>
          <w:tcPr>
            <w:tcW w:w="941"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vMerge w:val="continue"/>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c>
          <w:tcPr>
            <w:tcW w:w="1721" w:type="pct"/>
            <w:vMerge w:val="continue"/>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c>
          <w:tcPr>
            <w:tcW w:w="47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塔底</w:t>
            </w:r>
          </w:p>
        </w:tc>
        <w:tc>
          <w:tcPr>
            <w:tcW w:w="139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1.25</w:t>
            </w:r>
          </w:p>
        </w:tc>
        <w:tc>
          <w:tcPr>
            <w:tcW w:w="941"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vMerge w:val="restar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2</w:t>
            </w:r>
          </w:p>
        </w:tc>
        <w:tc>
          <w:tcPr>
            <w:tcW w:w="1721" w:type="pct"/>
            <w:vMerge w:val="restar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液化石油气脱硫抽提塔</w:t>
            </w:r>
          </w:p>
        </w:tc>
        <w:tc>
          <w:tcPr>
            <w:tcW w:w="47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塔顶</w:t>
            </w:r>
          </w:p>
        </w:tc>
        <w:tc>
          <w:tcPr>
            <w:tcW w:w="139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1.78</w:t>
            </w:r>
          </w:p>
        </w:tc>
        <w:tc>
          <w:tcPr>
            <w:tcW w:w="941" w:type="pct"/>
            <w:tcBorders>
              <w:top w:val="dotted" w:color="auto" w:sz="4" w:space="0"/>
              <w:left w:val="dotted" w:color="auto" w:sz="4" w:space="0"/>
              <w:bottom w:val="dotted" w:color="auto" w:sz="4" w:space="0"/>
              <w:right w:val="dotted" w:color="auto" w:sz="4" w:space="0"/>
            </w:tcBorders>
            <w:vAlign w:val="center"/>
          </w:tcPr>
          <w:p>
            <w:pPr>
              <w:widowControl/>
              <w:jc w:val="center"/>
              <w:rPr>
                <w:rFonts w:cs="宋体" w:asciiTheme="minorEastAsia" w:hAnsiTheme="minorEastAsia"/>
                <w:kern w:val="0"/>
                <w:sz w:val="18"/>
                <w:szCs w:val="18"/>
              </w:rPr>
            </w:pPr>
            <w:r>
              <w:rPr>
                <w:rFonts w:hint="eastAsia" w:cs="宋体" w:asciiTheme="minorEastAsia" w:hAnsiTheme="minorEastAsia"/>
                <w:kern w:val="0"/>
                <w:sz w:val="18"/>
                <w:szCs w:val="18"/>
              </w:rPr>
              <w:t>40.1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vMerge w:val="continue"/>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c>
          <w:tcPr>
            <w:tcW w:w="1721" w:type="pct"/>
            <w:vMerge w:val="continue"/>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p>
        </w:tc>
        <w:tc>
          <w:tcPr>
            <w:tcW w:w="47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塔底</w:t>
            </w:r>
          </w:p>
        </w:tc>
        <w:tc>
          <w:tcPr>
            <w:tcW w:w="139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1.8</w:t>
            </w:r>
          </w:p>
        </w:tc>
        <w:tc>
          <w:tcPr>
            <w:tcW w:w="941"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w:t>
            </w:r>
          </w:p>
        </w:tc>
        <w:tc>
          <w:tcPr>
            <w:tcW w:w="2193" w:type="pct"/>
            <w:gridSpan w:val="2"/>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液化石油气水解塔</w:t>
            </w:r>
          </w:p>
        </w:tc>
        <w:tc>
          <w:tcPr>
            <w:tcW w:w="139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1.60</w:t>
            </w:r>
          </w:p>
        </w:tc>
        <w:tc>
          <w:tcPr>
            <w:tcW w:w="941"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w:t>
            </w:r>
          </w:p>
        </w:tc>
        <w:tc>
          <w:tcPr>
            <w:tcW w:w="2193" w:type="pct"/>
            <w:gridSpan w:val="2"/>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液化石油气脱硫塔</w:t>
            </w:r>
          </w:p>
        </w:tc>
        <w:tc>
          <w:tcPr>
            <w:tcW w:w="139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1.55</w:t>
            </w:r>
          </w:p>
        </w:tc>
        <w:tc>
          <w:tcPr>
            <w:tcW w:w="941"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5</w:t>
            </w:r>
          </w:p>
        </w:tc>
        <w:tc>
          <w:tcPr>
            <w:tcW w:w="2193" w:type="pct"/>
            <w:gridSpan w:val="2"/>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液化石油气脱硫醇塔</w:t>
            </w:r>
          </w:p>
        </w:tc>
        <w:tc>
          <w:tcPr>
            <w:tcW w:w="139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1.50</w:t>
            </w:r>
          </w:p>
        </w:tc>
        <w:tc>
          <w:tcPr>
            <w:tcW w:w="941"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40.1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6</w:t>
            </w:r>
          </w:p>
        </w:tc>
        <w:tc>
          <w:tcPr>
            <w:tcW w:w="2193" w:type="pct"/>
            <w:gridSpan w:val="2"/>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汽油脱硫化氢反应器</w:t>
            </w:r>
          </w:p>
        </w:tc>
        <w:tc>
          <w:tcPr>
            <w:tcW w:w="139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0.6</w:t>
            </w:r>
          </w:p>
        </w:tc>
        <w:tc>
          <w:tcPr>
            <w:tcW w:w="941"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7</w:t>
            </w:r>
          </w:p>
        </w:tc>
        <w:tc>
          <w:tcPr>
            <w:tcW w:w="2193" w:type="pct"/>
            <w:gridSpan w:val="2"/>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汽油脱硫醇反应器</w:t>
            </w:r>
          </w:p>
        </w:tc>
        <w:tc>
          <w:tcPr>
            <w:tcW w:w="1392"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0.6</w:t>
            </w:r>
          </w:p>
        </w:tc>
        <w:tc>
          <w:tcPr>
            <w:tcW w:w="941"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73" w:type="pct"/>
            <w:tcBorders>
              <w:top w:val="dotted" w:color="auto" w:sz="4" w:space="0"/>
              <w:left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8</w:t>
            </w:r>
          </w:p>
        </w:tc>
        <w:tc>
          <w:tcPr>
            <w:tcW w:w="2193" w:type="pct"/>
            <w:gridSpan w:val="2"/>
            <w:tcBorders>
              <w:top w:val="dotted" w:color="auto" w:sz="4" w:space="0"/>
              <w:left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汽油沉降罐</w:t>
            </w:r>
          </w:p>
        </w:tc>
        <w:tc>
          <w:tcPr>
            <w:tcW w:w="1392" w:type="pct"/>
            <w:tcBorders>
              <w:top w:val="dotted" w:color="auto" w:sz="4" w:space="0"/>
              <w:left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0.3</w:t>
            </w:r>
          </w:p>
        </w:tc>
        <w:tc>
          <w:tcPr>
            <w:tcW w:w="941" w:type="pct"/>
            <w:tcBorders>
              <w:top w:val="dotted" w:color="auto" w:sz="4" w:space="0"/>
              <w:left w:val="dotted" w:color="auto" w:sz="4" w:space="0"/>
              <w:right w:val="dotted" w:color="auto" w:sz="4" w:space="0"/>
            </w:tcBorders>
            <w:vAlign w:val="center"/>
          </w:tcPr>
          <w:p>
            <w:pPr>
              <w:autoSpaceDE w:val="0"/>
              <w:autoSpaceDN w:val="0"/>
              <w:adjustRightInd w:val="0"/>
              <w:jc w:val="center"/>
              <w:rPr>
                <w:rFonts w:cs="宋体" w:asciiTheme="minorEastAsia" w:hAnsiTheme="minorEastAsia"/>
                <w:kern w:val="0"/>
                <w:sz w:val="18"/>
                <w:szCs w:val="18"/>
              </w:rPr>
            </w:pPr>
            <w:r>
              <w:rPr>
                <w:rFonts w:hint="eastAsia" w:cs="宋体" w:asciiTheme="minorEastAsia" w:hAnsiTheme="minorEastAsia"/>
                <w:kern w:val="0"/>
                <w:sz w:val="18"/>
                <w:szCs w:val="18"/>
              </w:rPr>
              <w:t>36</w:t>
            </w:r>
          </w:p>
        </w:tc>
      </w:tr>
    </w:tbl>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5</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rPr>
        <w:t>原料、辅助材料和产品</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①原料</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催化裂化单元进料为常压渣油，另有常压蒸馏、石脑油加氢、聚丙烯、气分、柴油加氢改质、柴油加氢精制以及预留催化汽油加氢装置的干气进催化装置分馏和吸收-稳定部分进行综合回收利用。</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产品精制单元主要原料有催化干气、催化液化石油气、催化汽油及贫胺液。</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②辅助材料</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sz w:val="24"/>
        </w:rPr>
      </w:pPr>
      <w:r>
        <w:rPr>
          <w:rFonts w:hint="eastAsia" w:ascii="Times New Roman" w:hAnsi="Times New Roman" w:eastAsia="宋体" w:cs="Times New Roman"/>
          <w:sz w:val="24"/>
        </w:rPr>
        <w:t>本装置的辅助材料见表</w:t>
      </w:r>
      <w:r>
        <w:rPr>
          <w:rFonts w:hint="eastAsia" w:ascii="Times New Roman" w:hAnsi="Times New Roman" w:eastAsia="宋体" w:cs="Times New Roman"/>
          <w:sz w:val="24"/>
          <w:lang w:val="en-US" w:eastAsia="zh-CN"/>
        </w:rPr>
        <w:t>3.1.2-6</w:t>
      </w:r>
      <w:r>
        <w:rPr>
          <w:rFonts w:hint="eastAsia" w:ascii="Times New Roman" w:hAnsi="Times New Roman" w:eastAsia="宋体" w:cs="Times New Roman"/>
          <w:sz w:val="24"/>
        </w:rPr>
        <w:t>和</w:t>
      </w:r>
      <w:r>
        <w:rPr>
          <w:rFonts w:hint="eastAsia" w:ascii="Times New Roman" w:hAnsi="Times New Roman" w:eastAsia="宋体" w:cs="Times New Roman"/>
          <w:sz w:val="24"/>
          <w:lang w:val="en-US" w:eastAsia="zh-CN"/>
        </w:rPr>
        <w:t>3.1.2-7</w:t>
      </w:r>
      <w:r>
        <w:rPr>
          <w:rFonts w:hint="eastAsia" w:ascii="Times New Roman" w:hAnsi="Times New Roman" w:eastAsia="宋体" w:cs="Times New Roman"/>
          <w:sz w:val="24"/>
        </w:rPr>
        <w:t>。</w:t>
      </w:r>
    </w:p>
    <w:p>
      <w:pPr>
        <w:keepNext w:val="0"/>
        <w:keepLines w:val="0"/>
        <w:pageBreakBefore w:val="0"/>
        <w:widowControl w:val="0"/>
        <w:kinsoku/>
        <w:wordWrap/>
        <w:overflowPunct/>
        <w:topLinePunct w:val="0"/>
        <w:autoSpaceDE w:val="0"/>
        <w:autoSpaceDN w:val="0"/>
        <w:bidi w:val="0"/>
        <w:adjustRightInd w:val="0"/>
        <w:snapToGrid/>
        <w:spacing w:line="560" w:lineRule="exact"/>
        <w:jc w:val="center"/>
        <w:textAlignment w:val="auto"/>
        <w:rPr>
          <w:rFonts w:hint="default" w:ascii="Times New Roman" w:hAnsi="Times New Roman" w:cs="Times New Roman"/>
          <w:b/>
          <w:kern w:val="0"/>
          <w:sz w:val="24"/>
          <w:szCs w:val="24"/>
        </w:rPr>
      </w:pPr>
      <w:r>
        <w:rPr>
          <w:rFonts w:hint="default" w:ascii="Times New Roman" w:hAnsi="Times New Roman" w:cs="Times New Roman"/>
          <w:b/>
          <w:sz w:val="24"/>
          <w:szCs w:val="24"/>
        </w:rPr>
        <w:t>表</w:t>
      </w:r>
      <w:r>
        <w:rPr>
          <w:rFonts w:hint="default" w:ascii="Times New Roman" w:hAnsi="Times New Roman" w:cs="Times New Roman"/>
          <w:b/>
          <w:sz w:val="24"/>
          <w:szCs w:val="24"/>
          <w:lang w:val="en-US" w:eastAsia="zh-CN"/>
        </w:rPr>
        <w:t>3.</w:t>
      </w:r>
      <w:r>
        <w:rPr>
          <w:rFonts w:hint="eastAsia" w:ascii="Times New Roman" w:hAnsi="Times New Roman" w:cs="Times New Roman"/>
          <w:b/>
          <w:sz w:val="24"/>
          <w:szCs w:val="24"/>
          <w:lang w:val="en-US" w:eastAsia="zh-CN"/>
        </w:rPr>
        <w:t>1.2</w:t>
      </w:r>
      <w:r>
        <w:rPr>
          <w:rFonts w:hint="default" w:ascii="Times New Roman" w:hAnsi="Times New Roman" w:cs="Times New Roman"/>
          <w:b/>
          <w:sz w:val="24"/>
          <w:szCs w:val="24"/>
          <w:lang w:val="en-US" w:eastAsia="zh-CN"/>
        </w:rPr>
        <w:t>-</w:t>
      </w:r>
      <w:r>
        <w:rPr>
          <w:rFonts w:hint="eastAsia" w:ascii="Times New Roman" w:hAnsi="Times New Roman" w:cs="Times New Roman"/>
          <w:b/>
          <w:sz w:val="24"/>
          <w:szCs w:val="24"/>
          <w:lang w:val="en-US" w:eastAsia="zh-CN"/>
        </w:rPr>
        <w:t>6</w:t>
      </w:r>
      <w:r>
        <w:rPr>
          <w:rFonts w:hint="default" w:ascii="Times New Roman" w:hAnsi="Times New Roman" w:cs="Times New Roman"/>
          <w:b/>
          <w:sz w:val="24"/>
          <w:szCs w:val="24"/>
        </w:rPr>
        <w:t xml:space="preserve">  催化裂化部分辅助物料及用量表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943"/>
        <w:gridCol w:w="1691"/>
        <w:gridCol w:w="2269"/>
        <w:gridCol w:w="1598"/>
        <w:gridCol w:w="1965"/>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5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序号</w:t>
            </w:r>
          </w:p>
        </w:tc>
        <w:tc>
          <w:tcPr>
            <w:tcW w:w="99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物料名称</w:t>
            </w:r>
          </w:p>
        </w:tc>
        <w:tc>
          <w:tcPr>
            <w:tcW w:w="133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型号或规格</w:t>
            </w:r>
          </w:p>
        </w:tc>
        <w:tc>
          <w:tcPr>
            <w:tcW w:w="94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用量t/a</w:t>
            </w:r>
          </w:p>
        </w:tc>
        <w:tc>
          <w:tcPr>
            <w:tcW w:w="1160"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一次装入量t</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5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99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催化剂</w:t>
            </w:r>
          </w:p>
        </w:tc>
        <w:tc>
          <w:tcPr>
            <w:tcW w:w="133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c>
          <w:tcPr>
            <w:tcW w:w="94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4393</w:t>
            </w:r>
          </w:p>
        </w:tc>
        <w:tc>
          <w:tcPr>
            <w:tcW w:w="1160"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527t</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5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99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CO助燃剂</w:t>
            </w:r>
          </w:p>
        </w:tc>
        <w:tc>
          <w:tcPr>
            <w:tcW w:w="133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Pt：0.05%</w:t>
            </w:r>
          </w:p>
        </w:tc>
        <w:tc>
          <w:tcPr>
            <w:tcW w:w="94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17.6</w:t>
            </w:r>
          </w:p>
        </w:tc>
        <w:tc>
          <w:tcPr>
            <w:tcW w:w="1160"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527kg</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5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99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磷酸三钠</w:t>
            </w:r>
          </w:p>
        </w:tc>
        <w:tc>
          <w:tcPr>
            <w:tcW w:w="133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95％（wt）</w:t>
            </w:r>
          </w:p>
        </w:tc>
        <w:tc>
          <w:tcPr>
            <w:tcW w:w="94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4.2</w:t>
            </w:r>
          </w:p>
        </w:tc>
        <w:tc>
          <w:tcPr>
            <w:tcW w:w="1160"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5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w:t>
            </w:r>
          </w:p>
        </w:tc>
        <w:tc>
          <w:tcPr>
            <w:tcW w:w="99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阻垢剂</w:t>
            </w:r>
          </w:p>
        </w:tc>
        <w:tc>
          <w:tcPr>
            <w:tcW w:w="133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c>
          <w:tcPr>
            <w:tcW w:w="94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11.2</w:t>
            </w:r>
          </w:p>
        </w:tc>
        <w:tc>
          <w:tcPr>
            <w:tcW w:w="1160"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250kg</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5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w:t>
            </w:r>
          </w:p>
        </w:tc>
        <w:tc>
          <w:tcPr>
            <w:tcW w:w="99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硫转移剂</w:t>
            </w:r>
          </w:p>
        </w:tc>
        <w:tc>
          <w:tcPr>
            <w:tcW w:w="133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c>
          <w:tcPr>
            <w:tcW w:w="94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18.4</w:t>
            </w:r>
          </w:p>
        </w:tc>
        <w:tc>
          <w:tcPr>
            <w:tcW w:w="1160"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5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w:t>
            </w:r>
          </w:p>
        </w:tc>
        <w:tc>
          <w:tcPr>
            <w:tcW w:w="99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钝化剂</w:t>
            </w:r>
          </w:p>
        </w:tc>
        <w:tc>
          <w:tcPr>
            <w:tcW w:w="133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含锑25％（wt）</w:t>
            </w:r>
          </w:p>
        </w:tc>
        <w:tc>
          <w:tcPr>
            <w:tcW w:w="94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200</w:t>
            </w:r>
          </w:p>
        </w:tc>
        <w:tc>
          <w:tcPr>
            <w:tcW w:w="1160"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bl>
    <w:p>
      <w:pPr>
        <w:keepNext w:val="0"/>
        <w:keepLines w:val="0"/>
        <w:pageBreakBefore w:val="0"/>
        <w:widowControl w:val="0"/>
        <w:kinsoku/>
        <w:wordWrap/>
        <w:overflowPunct/>
        <w:topLinePunct w:val="0"/>
        <w:autoSpaceDE w:val="0"/>
        <w:autoSpaceDN w:val="0"/>
        <w:bidi w:val="0"/>
        <w:adjustRightInd w:val="0"/>
        <w:snapToGrid/>
        <w:spacing w:line="500" w:lineRule="exact"/>
        <w:jc w:val="center"/>
        <w:textAlignment w:val="auto"/>
        <w:rPr>
          <w:rFonts w:hint="default" w:ascii="Times New Roman" w:hAnsi="Times New Roman" w:cs="Times New Roman"/>
          <w:b/>
          <w:sz w:val="24"/>
          <w:szCs w:val="24"/>
        </w:rPr>
      </w:pPr>
      <w:r>
        <w:rPr>
          <w:rFonts w:hint="eastAsia" w:ascii="Times New Roman" w:hAnsi="Times New Roman" w:cs="Times New Roman"/>
          <w:b/>
          <w:sz w:val="24"/>
          <w:szCs w:val="24"/>
        </w:rPr>
        <w:t>表</w:t>
      </w:r>
      <w:r>
        <w:rPr>
          <w:rFonts w:hint="eastAsia" w:ascii="Times New Roman" w:hAnsi="Times New Roman" w:cs="Times New Roman"/>
          <w:b/>
          <w:sz w:val="24"/>
          <w:szCs w:val="24"/>
          <w:lang w:val="en-US" w:eastAsia="zh-CN"/>
        </w:rPr>
        <w:t xml:space="preserve">3.1.2-7 </w:t>
      </w:r>
      <w:r>
        <w:rPr>
          <w:rFonts w:hint="eastAsia" w:ascii="Times New Roman" w:hAnsi="Times New Roman" w:cs="Times New Roman"/>
          <w:b/>
          <w:sz w:val="24"/>
          <w:szCs w:val="24"/>
        </w:rPr>
        <w:t xml:space="preserve">  产品精制部分辅助物料及用量表</w:t>
      </w:r>
    </w:p>
    <w:tbl>
      <w:tblPr>
        <w:tblStyle w:val="21"/>
        <w:tblW w:w="4998"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869"/>
        <w:gridCol w:w="2597"/>
        <w:gridCol w:w="1734"/>
        <w:gridCol w:w="1446"/>
        <w:gridCol w:w="1817"/>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序号</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物料名称</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型号或规格</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年用量t/a</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一次装入量t</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羰基硫水解催化剂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JX－6B</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84.78m</w:t>
            </w:r>
            <w:r>
              <w:rPr>
                <w:rFonts w:hint="default" w:ascii="Times New Roman" w:hAnsi="Times New Roman" w:eastAsia="宋体" w:cs="Times New Roman"/>
                <w:kern w:val="0"/>
                <w:sz w:val="21"/>
                <w:szCs w:val="21"/>
                <w:vertAlign w:val="superscript"/>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精脱硫催化剂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JX－2B</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169.56m</w:t>
            </w:r>
            <w:r>
              <w:rPr>
                <w:rFonts w:hint="default" w:ascii="Times New Roman" w:hAnsi="Times New Roman" w:eastAsia="宋体" w:cs="Times New Roman"/>
                <w:kern w:val="0"/>
                <w:sz w:val="21"/>
                <w:szCs w:val="21"/>
                <w:vertAlign w:val="superscript"/>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硫醇转化催化剂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JX－2A</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84.78m</w:t>
            </w:r>
            <w:r>
              <w:rPr>
                <w:rFonts w:hint="default" w:ascii="Times New Roman" w:hAnsi="Times New Roman" w:eastAsia="宋体" w:cs="Times New Roman"/>
                <w:kern w:val="0"/>
                <w:sz w:val="21"/>
                <w:szCs w:val="21"/>
                <w:vertAlign w:val="superscript"/>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预制脱硫催化剂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THS－1</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158.96m</w:t>
            </w:r>
            <w:r>
              <w:rPr>
                <w:rFonts w:hint="default" w:ascii="Times New Roman" w:hAnsi="Times New Roman" w:eastAsia="宋体" w:cs="Times New Roman"/>
                <w:kern w:val="0"/>
                <w:sz w:val="21"/>
                <w:szCs w:val="21"/>
                <w:vertAlign w:val="superscript"/>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预制脱硫醇催化剂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AFS－12</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190.76m</w:t>
            </w:r>
            <w:r>
              <w:rPr>
                <w:rFonts w:hint="default" w:ascii="Times New Roman" w:hAnsi="Times New Roman" w:eastAsia="宋体" w:cs="Times New Roman"/>
                <w:kern w:val="0"/>
                <w:sz w:val="21"/>
                <w:szCs w:val="21"/>
                <w:vertAlign w:val="superscript"/>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助脱硫剂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TM－1</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129</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5.54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7</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助催化剂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HY－1</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126</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5.41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防胶剂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69.5</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金属钝化剂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6.9</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0.31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10</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瓷球、瓷砂</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63.7m3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11</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不锈钢散堆填料</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DN38</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51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w:t>
            </w:r>
          </w:p>
        </w:tc>
        <w:tc>
          <w:tcPr>
            <w:tcW w:w="153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碱液</w:t>
            </w:r>
          </w:p>
        </w:tc>
        <w:tc>
          <w:tcPr>
            <w:tcW w:w="102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30%</w:t>
            </w:r>
          </w:p>
        </w:tc>
        <w:tc>
          <w:tcPr>
            <w:tcW w:w="854"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73"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12.7</w:t>
            </w:r>
          </w:p>
        </w:tc>
      </w:tr>
    </w:tbl>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③产品</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催化裂化部分主要产品为汽油、轻柴油、液化石油气，副产品为干气、油浆。其中轻柴油去柴油加氢改质装置，油浆出装置送入罐区；催化汽油和液化石油气均进入产品精制单元。</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精制单元主要产品为净化干气、精制液化石油气和精制汽油，净化干气至燃料气管网，精制液化石油气至气体分馏装置，精制汽油至成品罐区。</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宋体" w:hAnsi="宋体" w:eastAsia="宋体" w:cs="宋体"/>
          <w:sz w:val="24"/>
        </w:rPr>
      </w:pPr>
      <w:r>
        <w:rPr>
          <w:rFonts w:hint="eastAsia" w:ascii="宋体" w:hAnsi="宋体" w:eastAsia="宋体" w:cs="宋体"/>
          <w:sz w:val="24"/>
          <w:lang w:eastAsia="zh-CN"/>
        </w:rPr>
        <w:t>（</w:t>
      </w:r>
      <w:r>
        <w:rPr>
          <w:rFonts w:hint="eastAsia" w:ascii="宋体" w:hAnsi="宋体" w:eastAsia="宋体" w:cs="宋体"/>
          <w:sz w:val="24"/>
          <w:lang w:val="en-US" w:eastAsia="zh-CN"/>
        </w:rPr>
        <w:t>5</w:t>
      </w:r>
      <w:r>
        <w:rPr>
          <w:rFonts w:hint="eastAsia" w:ascii="宋体" w:hAnsi="宋体" w:eastAsia="宋体" w:cs="宋体"/>
          <w:sz w:val="24"/>
          <w:lang w:eastAsia="zh-CN"/>
        </w:rPr>
        <w:t>）</w:t>
      </w:r>
      <w:r>
        <w:rPr>
          <w:rFonts w:hint="eastAsia" w:ascii="宋体" w:hAnsi="宋体" w:eastAsia="宋体" w:cs="宋体"/>
          <w:sz w:val="24"/>
        </w:rPr>
        <w:t>装置的“三废”污染源排放</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本装置产生的污染源有废气、废水和固体废物三部分。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催化裂化装置废气污染源主要为再生烟气G1，这部分烟气经三级旋风分离器回收催化剂颗粒后送余热锅炉发生蒸汽，回收热量后经120m高烟筒排入大气，主要污染物为SO</w:t>
      </w:r>
      <w:r>
        <w:rPr>
          <w:rFonts w:hint="default" w:ascii="Times New Roman" w:hAnsi="Times New Roman" w:eastAsia="宋体" w:cs="Times New Roman"/>
          <w:sz w:val="24"/>
          <w:vertAlign w:val="subscript"/>
        </w:rPr>
        <w:t>2</w:t>
      </w:r>
      <w:r>
        <w:rPr>
          <w:rFonts w:hint="default" w:ascii="Times New Roman" w:hAnsi="Times New Roman" w:eastAsia="宋体" w:cs="Times New Roman"/>
          <w:sz w:val="24"/>
        </w:rPr>
        <w:t>、NO</w:t>
      </w:r>
      <w:r>
        <w:rPr>
          <w:rFonts w:hint="default" w:ascii="Times New Roman" w:hAnsi="Times New Roman" w:eastAsia="宋体" w:cs="Times New Roman"/>
          <w:sz w:val="24"/>
          <w:vertAlign w:val="subscript"/>
        </w:rPr>
        <w:t>X</w:t>
      </w:r>
      <w:r>
        <w:rPr>
          <w:rFonts w:hint="default" w:ascii="Times New Roman" w:hAnsi="Times New Roman" w:eastAsia="宋体" w:cs="Times New Roman"/>
          <w:sz w:val="24"/>
        </w:rPr>
        <w:t>和废催化剂粉尘；产品精制装置排放的废气主要为干气、液化气脱硫/脱硫醇产生的工艺尾气（罐顶气）G2，主要污染组分为微量烃类和恶臭；汽油分馏塔重沸炉烟气G3和加氢反应产物加热炉烟气G4，经各自烟气余热回收系统后，分别汇集进入50m高烟筒排入大气，主要污染物为SO</w:t>
      </w:r>
      <w:r>
        <w:rPr>
          <w:rFonts w:hint="default" w:ascii="Times New Roman" w:hAnsi="Times New Roman" w:eastAsia="宋体" w:cs="Times New Roman"/>
          <w:sz w:val="24"/>
          <w:vertAlign w:val="subscript"/>
        </w:rPr>
        <w:t>2</w:t>
      </w:r>
      <w:r>
        <w:rPr>
          <w:rFonts w:hint="default" w:ascii="Times New Roman" w:hAnsi="Times New Roman" w:eastAsia="宋体" w:cs="Times New Roman"/>
          <w:sz w:val="24"/>
        </w:rPr>
        <w:t>、NO</w:t>
      </w:r>
      <w:r>
        <w:rPr>
          <w:rFonts w:hint="default" w:ascii="Times New Roman" w:hAnsi="Times New Roman" w:eastAsia="宋体" w:cs="Times New Roman"/>
          <w:sz w:val="24"/>
          <w:vertAlign w:val="subscript"/>
        </w:rPr>
        <w:t>X</w:t>
      </w:r>
      <w:r>
        <w:rPr>
          <w:rFonts w:hint="default" w:ascii="Times New Roman" w:hAnsi="Times New Roman" w:eastAsia="宋体" w:cs="Times New Roman"/>
          <w:sz w:val="24"/>
        </w:rPr>
        <w:t>、烟尘。另有装置运行过程中泄露等造成的无组织排放的烃类气体。</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废水为来自催化裂化装置塔顶分液罐废水、低压油水分离罐排出的含油废水、机泵冷却、地面冲洗等构成的含油污水W1；来自分馏塔、稳定塔顶分离器和回流罐、汽提塔顶回流罐分出的含硫污水W2；来自余热锅炉等产汽系统排出的生产废水W3；来自产品精制装置的地面冲洗水、机泵冷却水等构成的含油废水W4；产品精制过程中产生的极少量废碱液W5；蒸汽凝结水回收不外排。</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固体废物有来自装置排放的废催化剂粉末S1等；来自液化气脱硫醇部分水解罐、精脱硫罐、脱硫醇罐及硫醇转化罐等中的废催化剂S2等；加氢反应器产生的废加氢催化剂S3；废加氢保护剂S4；废加氢脱硫剂S5；废瓷球S6；废硫化剂S7等。催化裂化装置工艺流程见图</w:t>
      </w:r>
      <w:r>
        <w:rPr>
          <w:rFonts w:hint="default" w:ascii="Times New Roman" w:hAnsi="Times New Roman" w:cs="Times New Roman"/>
          <w:sz w:val="24"/>
          <w:lang w:val="en-US" w:eastAsia="zh-CN"/>
        </w:rPr>
        <w:t>3.</w:t>
      </w:r>
      <w:r>
        <w:rPr>
          <w:rFonts w:hint="eastAsia" w:ascii="Times New Roman" w:hAnsi="Times New Roman" w:cs="Times New Roman"/>
          <w:sz w:val="24"/>
          <w:lang w:val="en-US" w:eastAsia="zh-CN"/>
        </w:rPr>
        <w:t>1.2</w:t>
      </w:r>
      <w:r>
        <w:rPr>
          <w:rFonts w:hint="default" w:ascii="Times New Roman" w:hAnsi="Times New Roman" w:cs="Times New Roman"/>
          <w:sz w:val="24"/>
          <w:lang w:val="en-US" w:eastAsia="zh-CN"/>
        </w:rPr>
        <w:t>-3</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line="560" w:lineRule="atLeast"/>
        <w:ind w:left="0" w:leftChars="0" w:firstLine="0" w:firstLineChars="0"/>
        <w:jc w:val="center"/>
        <w:textAlignment w:val="auto"/>
        <w:rPr>
          <w:rFonts w:asciiTheme="minorEastAsia" w:hAnsiTheme="minorEastAsia"/>
          <w:sz w:val="24"/>
          <w:szCs w:val="20"/>
        </w:rPr>
      </w:pPr>
      <w:r>
        <w:rPr>
          <w:rFonts w:asciiTheme="minorEastAsia" w:hAnsiTheme="minorEastAsia"/>
          <w:sz w:val="24"/>
          <w:szCs w:val="20"/>
        </w:rPr>
        <w:drawing>
          <wp:inline distT="0" distB="0" distL="0" distR="0">
            <wp:extent cx="5245735" cy="3398520"/>
            <wp:effectExtent l="0" t="0" r="12065" b="11430"/>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noChangeArrowheads="1"/>
                    </pic:cNvPicPr>
                  </pic:nvPicPr>
                  <pic:blipFill>
                    <a:blip r:embed="rId12" cstate="print"/>
                    <a:srcRect/>
                    <a:stretch>
                      <a:fillRect/>
                    </a:stretch>
                  </pic:blipFill>
                  <pic:spPr>
                    <a:xfrm>
                      <a:off x="0" y="0"/>
                      <a:ext cx="5245735" cy="3398520"/>
                    </a:xfrm>
                    <a:prstGeom prst="rect">
                      <a:avLst/>
                    </a:prstGeom>
                    <a:noFill/>
                    <a:ln w="9525">
                      <a:noFill/>
                      <a:miter lim="800000"/>
                      <a:headEnd/>
                      <a:tailEnd/>
                    </a:ln>
                  </pic:spPr>
                </pic:pic>
              </a:graphicData>
            </a:graphic>
          </wp:inline>
        </w:drawing>
      </w:r>
      <w:bookmarkStart w:id="136" w:name="_Ref503429566"/>
    </w:p>
    <w:p>
      <w:pPr>
        <w:keepNext w:val="0"/>
        <w:keepLines w:val="0"/>
        <w:pageBreakBefore w:val="0"/>
        <w:widowControl w:val="0"/>
        <w:kinsoku/>
        <w:wordWrap/>
        <w:overflowPunct/>
        <w:topLinePunct w:val="0"/>
        <w:autoSpaceDE/>
        <w:autoSpaceDN/>
        <w:bidi w:val="0"/>
        <w:adjustRightInd/>
        <w:snapToGrid/>
        <w:spacing w:line="560" w:lineRule="atLeast"/>
        <w:ind w:left="0" w:leftChars="0" w:firstLine="0" w:firstLineChars="0"/>
        <w:jc w:val="center"/>
        <w:textAlignment w:val="auto"/>
        <w:rPr>
          <w:rFonts w:hint="default" w:ascii="Times New Roman" w:hAnsi="Times New Roman" w:cs="Times New Roman"/>
          <w:b/>
          <w:sz w:val="24"/>
          <w:szCs w:val="20"/>
        </w:rPr>
      </w:pPr>
      <w:r>
        <w:rPr>
          <w:rFonts w:hint="default" w:ascii="Times New Roman" w:hAnsi="Times New Roman" w:cs="Times New Roman"/>
          <w:b/>
          <w:sz w:val="24"/>
          <w:szCs w:val="20"/>
        </w:rPr>
        <w:t>图</w:t>
      </w:r>
      <w:bookmarkEnd w:id="136"/>
      <w:r>
        <w:rPr>
          <w:rFonts w:hint="default" w:ascii="Times New Roman" w:hAnsi="Times New Roman" w:cs="Times New Roman"/>
          <w:b/>
          <w:sz w:val="24"/>
          <w:szCs w:val="20"/>
          <w:lang w:val="en-US" w:eastAsia="zh-CN"/>
        </w:rPr>
        <w:t>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 xml:space="preserve">-3   </w:t>
      </w:r>
      <w:r>
        <w:rPr>
          <w:rFonts w:hint="default" w:ascii="Times New Roman" w:hAnsi="Times New Roman" w:cs="Times New Roman"/>
          <w:b/>
          <w:sz w:val="24"/>
          <w:szCs w:val="20"/>
        </w:rPr>
        <w:t>催化裂化装置工艺流程图</w:t>
      </w:r>
    </w:p>
    <w:p>
      <w:pPr>
        <w:keepNext w:val="0"/>
        <w:keepLines w:val="0"/>
        <w:pageBreakBefore w:val="0"/>
        <w:widowControl w:val="0"/>
        <w:kinsoku/>
        <w:wordWrap/>
        <w:overflowPunct/>
        <w:topLinePunct w:val="0"/>
        <w:autoSpaceDE/>
        <w:autoSpaceDN/>
        <w:bidi w:val="0"/>
        <w:adjustRightInd/>
        <w:snapToGrid/>
        <w:spacing w:line="560" w:lineRule="atLeast"/>
        <w:ind w:left="0" w:leftChars="0" w:firstLine="512" w:firstLineChars="200"/>
        <w:jc w:val="left"/>
        <w:textAlignment w:val="auto"/>
        <w:rPr>
          <w:rFonts w:hint="default" w:ascii="Times New Roman" w:hAnsi="Times New Roman" w:cs="Times New Roman"/>
          <w:b/>
          <w:sz w:val="24"/>
          <w:szCs w:val="24"/>
        </w:rPr>
      </w:pPr>
      <w:r>
        <w:rPr>
          <w:rFonts w:hint="default" w:ascii="Times New Roman" w:hAnsi="Times New Roman" w:cs="Times New Roman"/>
          <w:b/>
          <w:sz w:val="24"/>
          <w:szCs w:val="24"/>
        </w:rPr>
        <w:t>3、气体分馏装置</w:t>
      </w:r>
    </w:p>
    <w:p>
      <w:pPr>
        <w:keepNext w:val="0"/>
        <w:keepLines w:val="0"/>
        <w:pageBreakBefore w:val="0"/>
        <w:widowControl w:val="0"/>
        <w:kinsoku/>
        <w:wordWrap/>
        <w:overflowPunct/>
        <w:topLinePunct w:val="0"/>
        <w:autoSpaceDE/>
        <w:autoSpaceDN/>
        <w:bidi w:val="0"/>
        <w:adjustRightInd/>
        <w:snapToGrid/>
        <w:spacing w:line="560" w:lineRule="atLeast"/>
        <w:ind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本装置加工原料为来自催化裂化装置脱硫及脱硫醇后的液化气，通过三座分馏塔分离出干气、丙烷、精丙烯、混合C4组分。干气送至全厂燃料气管网做燃料；丙烷作为液化石油气组分；精丙烯送至聚丙烯装置做原料；混合C4送至MTBE装置作原料。装置设计规模为50万吨/年</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后改扩建至65</w:t>
      </w:r>
      <w:r>
        <w:rPr>
          <w:rFonts w:hint="default" w:ascii="Times New Roman" w:hAnsi="Times New Roman" w:cs="Times New Roman"/>
          <w:sz w:val="24"/>
          <w:szCs w:val="24"/>
        </w:rPr>
        <w:t>万吨/年</w:t>
      </w:r>
      <w:r>
        <w:rPr>
          <w:rFonts w:hint="eastAsia" w:ascii="Times New Roman" w:hAnsi="Times New Roman" w:cs="Times New Roman"/>
          <w:sz w:val="24"/>
          <w:szCs w:val="24"/>
          <w:lang w:eastAsia="zh-CN"/>
        </w:rPr>
        <w:t>）</w:t>
      </w:r>
      <w:r>
        <w:rPr>
          <w:rFonts w:hint="default" w:ascii="Times New Roman" w:hAnsi="Times New Roman" w:cs="Times New Roman"/>
          <w:sz w:val="24"/>
          <w:szCs w:val="24"/>
        </w:rPr>
        <w:t>，年开工时间8400小时。装置主要由脱丙烷塔、脱乙烷塔、丙烷－丙烯分离塔等部分组成，包括其配套的重沸、冷凝及产品冷却系统。</w:t>
      </w:r>
    </w:p>
    <w:p>
      <w:pPr>
        <w:keepNext w:val="0"/>
        <w:keepLines w:val="0"/>
        <w:pageBreakBefore w:val="0"/>
        <w:widowControl w:val="0"/>
        <w:kinsoku/>
        <w:wordWrap/>
        <w:overflowPunct/>
        <w:topLinePunct w:val="0"/>
        <w:autoSpaceDE/>
        <w:autoSpaceDN/>
        <w:bidi w:val="0"/>
        <w:adjustRightInd/>
        <w:snapToGrid/>
        <w:spacing w:line="560" w:lineRule="atLeast"/>
        <w:ind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（1）主要工艺技术特点</w:t>
      </w:r>
    </w:p>
    <w:p>
      <w:pPr>
        <w:keepNext w:val="0"/>
        <w:keepLines w:val="0"/>
        <w:pageBreakBefore w:val="0"/>
        <w:widowControl w:val="0"/>
        <w:kinsoku/>
        <w:wordWrap/>
        <w:overflowPunct/>
        <w:topLinePunct w:val="0"/>
        <w:autoSpaceDE/>
        <w:autoSpaceDN/>
        <w:bidi w:val="0"/>
        <w:adjustRightInd/>
        <w:snapToGrid/>
        <w:spacing w:line="560" w:lineRule="atLeast"/>
        <w:ind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采用常规三塔分离流程。第1塔分离C</w:t>
      </w:r>
      <w:r>
        <w:rPr>
          <w:rFonts w:hint="default" w:ascii="Times New Roman" w:hAnsi="Times New Roman" w:cs="Times New Roman"/>
          <w:sz w:val="24"/>
          <w:szCs w:val="24"/>
          <w:vertAlign w:val="subscript"/>
        </w:rPr>
        <w:t>4</w:t>
      </w:r>
      <w:r>
        <w:rPr>
          <w:rFonts w:hint="default" w:ascii="Times New Roman" w:hAnsi="Times New Roman" w:cs="Times New Roman"/>
          <w:sz w:val="24"/>
          <w:szCs w:val="24"/>
        </w:rPr>
        <w:t>馏分和≤C</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馏分；第2塔分离C</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馏分和C</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馏分；第3塔分离丙烷和丙烯；利用催化裂化装置低温余热作为丙烯塔塔底重沸器的热源，达到节能和节省投资的双重目的；采用高效浮阀塔盘。</w:t>
      </w:r>
    </w:p>
    <w:p>
      <w:pPr>
        <w:keepNext w:val="0"/>
        <w:keepLines w:val="0"/>
        <w:pageBreakBefore w:val="0"/>
        <w:widowControl w:val="0"/>
        <w:kinsoku/>
        <w:wordWrap/>
        <w:overflowPunct/>
        <w:topLinePunct w:val="0"/>
        <w:autoSpaceDE/>
        <w:autoSpaceDN/>
        <w:bidi w:val="0"/>
        <w:adjustRightInd/>
        <w:snapToGrid/>
        <w:spacing w:line="560" w:lineRule="atLeast"/>
        <w:ind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（2）工艺流程</w:t>
      </w:r>
    </w:p>
    <w:p>
      <w:pPr>
        <w:keepNext w:val="0"/>
        <w:keepLines w:val="0"/>
        <w:pageBreakBefore w:val="0"/>
        <w:widowControl w:val="0"/>
        <w:kinsoku/>
        <w:wordWrap/>
        <w:overflowPunct/>
        <w:topLinePunct w:val="0"/>
        <w:autoSpaceDE/>
        <w:autoSpaceDN/>
        <w:bidi w:val="0"/>
        <w:adjustRightInd/>
        <w:snapToGrid/>
        <w:spacing w:line="560" w:lineRule="atLeast"/>
        <w:ind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催化裂化装置的液化石油气自产品精制装置进入本装置的原料缓冲罐，再经丙烷塔进料泵送至丙烷塔进料加热器，用热水加热至泡点后，进入丙烷塔。碳二、碳三馏分从塔顶部蒸出，经丙烷塔顶空冷器冷凝后，进入丙烷塔顶回流罐，冷凝液一部分用丙烷塔顶回流泵抽出，作为丙烷塔回流；另一部分用乙烷塔进料泵抽出，送至脱乙烷塔进料加热器，用热水加热至泡点后，进入乙烷塔作为乙烷塔进料。丙烷塔塔底物料经冷却器冷却后自压送至液化气罐区，作为MTBE原料。脱丙烷塔重沸气热源为1.0MPa蒸汽。</w:t>
      </w:r>
    </w:p>
    <w:p>
      <w:pPr>
        <w:keepNext w:val="0"/>
        <w:keepLines w:val="0"/>
        <w:pageBreakBefore w:val="0"/>
        <w:widowControl w:val="0"/>
        <w:kinsoku/>
        <w:wordWrap/>
        <w:overflowPunct/>
        <w:topLinePunct w:val="0"/>
        <w:autoSpaceDE/>
        <w:autoSpaceDN/>
        <w:bidi w:val="0"/>
        <w:adjustRightInd/>
        <w:snapToGrid/>
        <w:spacing w:line="560" w:lineRule="atLeast"/>
        <w:ind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乙烷塔塔顶碳二、碳三气体经乙烷塔顶冷凝器部分冷凝后，进入乙烷塔顶回流罐。不凝气自乙烷塔回流罐顶经压控阀送至催化裂化装置或燃料气管网，冷凝液用乙烷塔回流泵送回乙烷塔顶全部作为回流，乙烷塔底物料自压至丙烯精馏塔A，作为丙烯精馏塔进料。脱乙烷塔重沸器热源为90℃热水。</w:t>
      </w:r>
    </w:p>
    <w:p>
      <w:pPr>
        <w:keepNext w:val="0"/>
        <w:keepLines w:val="0"/>
        <w:pageBreakBefore w:val="0"/>
        <w:widowControl w:val="0"/>
        <w:kinsoku/>
        <w:wordWrap/>
        <w:overflowPunct/>
        <w:topLinePunct w:val="0"/>
        <w:autoSpaceDE/>
        <w:autoSpaceDN/>
        <w:bidi w:val="0"/>
        <w:adjustRightInd/>
        <w:snapToGrid/>
        <w:spacing w:line="560" w:lineRule="atLeast"/>
        <w:ind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丙烯精馏塔因板数较多，分为两塔串联操作。丙烯精馏塔A塔顶气体进入丙烯精馏塔B底部，塔底丙烷馏分经丙烷冷却器冷却至40℃后，用丙烷产品泵送出装置；丙烯精馏塔B底部液体由丙烯精馏塔中间泵送回丙烯精馏塔A顶部作为回流，丙烯精馏塔B塔顶气体经丙烯精馏塔顶冷凝器冷凝后，进入丙烯精馏塔顶回流罐，冷凝液一部分用丙烯精馏塔回流泵抽出，送回丙烯精馏塔B顶部作为回流；另一部分冷却至40℃后送至聚丙烯装置。</w:t>
      </w:r>
    </w:p>
    <w:p>
      <w:pPr>
        <w:keepNext w:val="0"/>
        <w:keepLines w:val="0"/>
        <w:pageBreakBefore w:val="0"/>
        <w:widowControl w:val="0"/>
        <w:kinsoku/>
        <w:wordWrap/>
        <w:overflowPunct/>
        <w:topLinePunct w:val="0"/>
        <w:autoSpaceDE/>
        <w:autoSpaceDN/>
        <w:bidi w:val="0"/>
        <w:adjustRightInd/>
        <w:snapToGrid/>
        <w:spacing w:line="560" w:lineRule="atLeast"/>
        <w:ind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（3）装置操作条件</w:t>
      </w:r>
    </w:p>
    <w:p>
      <w:pPr>
        <w:keepNext w:val="0"/>
        <w:keepLines w:val="0"/>
        <w:pageBreakBefore w:val="0"/>
        <w:widowControl w:val="0"/>
        <w:kinsoku/>
        <w:wordWrap/>
        <w:overflowPunct/>
        <w:topLinePunct w:val="0"/>
        <w:autoSpaceDE/>
        <w:autoSpaceDN/>
        <w:bidi w:val="0"/>
        <w:adjustRightInd/>
        <w:snapToGrid/>
        <w:spacing w:line="560" w:lineRule="atLeast"/>
        <w:ind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装置的操作条件见表</w:t>
      </w:r>
      <w:r>
        <w:rPr>
          <w:rFonts w:hint="default" w:ascii="Times New Roman" w:hAnsi="Times New Roman" w:cs="Times New Roman"/>
          <w:sz w:val="24"/>
          <w:szCs w:val="24"/>
          <w:lang w:val="en-US" w:eastAsia="zh-CN"/>
        </w:rPr>
        <w:t>3.</w:t>
      </w:r>
      <w:r>
        <w:rPr>
          <w:rFonts w:hint="eastAsia" w:ascii="Times New Roman" w:hAnsi="Times New Roman" w:cs="Times New Roman"/>
          <w:sz w:val="24"/>
          <w:szCs w:val="24"/>
          <w:lang w:val="en-US" w:eastAsia="zh-CN"/>
        </w:rPr>
        <w:t>1.2</w:t>
      </w:r>
      <w:r>
        <w:rPr>
          <w:rFonts w:hint="default" w:ascii="Times New Roman" w:hAnsi="Times New Roman" w:cs="Times New Roman"/>
          <w:sz w:val="24"/>
          <w:szCs w:val="24"/>
          <w:lang w:val="en-US" w:eastAsia="zh-CN"/>
        </w:rPr>
        <w:t>-8</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spacing w:line="560" w:lineRule="atLeast"/>
        <w:ind w:left="0" w:leftChars="0" w:firstLine="0" w:firstLineChars="0"/>
        <w:jc w:val="center"/>
        <w:textAlignment w:val="auto"/>
        <w:rPr>
          <w:rFonts w:hint="default" w:ascii="Times New Roman" w:hAnsi="Times New Roman" w:cs="Times New Roman"/>
          <w:b/>
          <w:sz w:val="24"/>
          <w:szCs w:val="20"/>
        </w:rPr>
      </w:pPr>
      <w:r>
        <w:rPr>
          <w:rFonts w:hint="default" w:ascii="Times New Roman" w:hAnsi="Times New Roman" w:cs="Times New Roman"/>
          <w:b/>
          <w:sz w:val="24"/>
          <w:szCs w:val="20"/>
        </w:rPr>
        <w:t>表</w:t>
      </w:r>
      <w:r>
        <w:rPr>
          <w:rFonts w:hint="default" w:ascii="Times New Roman" w:hAnsi="Times New Roman" w:cs="Times New Roman"/>
          <w:b/>
          <w:sz w:val="24"/>
          <w:szCs w:val="20"/>
          <w:lang w:val="en-US" w:eastAsia="zh-CN"/>
        </w:rPr>
        <w:t>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 xml:space="preserve">-8  </w:t>
      </w:r>
      <w:r>
        <w:rPr>
          <w:rFonts w:hint="default" w:ascii="Times New Roman" w:hAnsi="Times New Roman" w:cs="Times New Roman"/>
          <w:b/>
          <w:sz w:val="24"/>
          <w:szCs w:val="20"/>
        </w:rPr>
        <w:t xml:space="preserve"> 气体分馏装置主要操作条件表</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735"/>
        <w:gridCol w:w="1223"/>
        <w:gridCol w:w="923"/>
        <w:gridCol w:w="923"/>
        <w:gridCol w:w="735"/>
        <w:gridCol w:w="735"/>
        <w:gridCol w:w="735"/>
        <w:gridCol w:w="740"/>
        <w:gridCol w:w="981"/>
        <w:gridCol w:w="7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4" w:type="pct"/>
            <w:vMerge w:val="restart"/>
            <w:tcBorders>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序号</w:t>
            </w:r>
          </w:p>
        </w:tc>
        <w:tc>
          <w:tcPr>
            <w:tcW w:w="722" w:type="pct"/>
            <w:vMerge w:val="restart"/>
            <w:tcBorders>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设备名称</w:t>
            </w:r>
          </w:p>
        </w:tc>
        <w:tc>
          <w:tcPr>
            <w:tcW w:w="1090" w:type="pct"/>
            <w:gridSpan w:val="2"/>
            <w:tcBorders>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压力MPa（a）</w:t>
            </w:r>
          </w:p>
        </w:tc>
        <w:tc>
          <w:tcPr>
            <w:tcW w:w="1739" w:type="pct"/>
            <w:gridSpan w:val="4"/>
            <w:tcBorders>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温度℃</w:t>
            </w:r>
          </w:p>
        </w:tc>
        <w:tc>
          <w:tcPr>
            <w:tcW w:w="579" w:type="pct"/>
            <w:vMerge w:val="restart"/>
            <w:tcBorders>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回流比</w:t>
            </w:r>
          </w:p>
        </w:tc>
        <w:tc>
          <w:tcPr>
            <w:tcW w:w="434" w:type="pct"/>
            <w:vMerge w:val="restart"/>
            <w:tcBorders>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4" w:type="pct"/>
            <w:vMerge w:val="continue"/>
            <w:tcBorders>
              <w:top w:val="dotted" w:color="auto" w:sz="4" w:space="0"/>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p>
        </w:tc>
        <w:tc>
          <w:tcPr>
            <w:tcW w:w="722" w:type="pct"/>
            <w:vMerge w:val="continue"/>
            <w:tcBorders>
              <w:top w:val="dotted" w:color="auto" w:sz="4" w:space="0"/>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p>
        </w:tc>
        <w:tc>
          <w:tcPr>
            <w:tcW w:w="545" w:type="pct"/>
            <w:tcBorders>
              <w:top w:val="dotted" w:color="auto" w:sz="4" w:space="0"/>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塔顶</w:t>
            </w:r>
          </w:p>
        </w:tc>
        <w:tc>
          <w:tcPr>
            <w:tcW w:w="545" w:type="pct"/>
            <w:tcBorders>
              <w:top w:val="dotted" w:color="auto" w:sz="4" w:space="0"/>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塔底</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进料</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回流</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w:t>
            </w:r>
          </w:p>
        </w:tc>
        <w:tc>
          <w:tcPr>
            <w:tcW w:w="579" w:type="pct"/>
            <w:vMerge w:val="continue"/>
            <w:tcBorders>
              <w:top w:val="dotted" w:color="auto" w:sz="4" w:space="0"/>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p>
        </w:tc>
        <w:tc>
          <w:tcPr>
            <w:tcW w:w="434" w:type="pct"/>
            <w:vMerge w:val="continue"/>
            <w:tcBorders>
              <w:top w:val="dotted" w:color="auto" w:sz="4" w:space="0"/>
              <w:left w:val="dotted" w:color="auto" w:sz="4" w:space="0"/>
              <w:bottom w:val="dotted" w:color="auto" w:sz="4" w:space="0"/>
              <w:right w:val="dotted" w:color="auto" w:sz="4" w:space="0"/>
            </w:tcBorders>
            <w:shd w:val="clear" w:color="auto" w:fill="auto"/>
            <w:vAlign w:val="center"/>
          </w:tcPr>
          <w:p>
            <w:pPr>
              <w:jc w:val="center"/>
              <w:rPr>
                <w:rFonts w:hint="default" w:ascii="Times New Roman" w:hAnsi="Times New Roman" w:eastAsia="宋体"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722"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脱丙烷塔</w:t>
            </w:r>
          </w:p>
        </w:tc>
        <w:tc>
          <w:tcPr>
            <w:tcW w:w="545"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2.10</w:t>
            </w:r>
          </w:p>
        </w:tc>
        <w:tc>
          <w:tcPr>
            <w:tcW w:w="545"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2.15</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67</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51</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52.6</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111</w:t>
            </w:r>
          </w:p>
        </w:tc>
        <w:tc>
          <w:tcPr>
            <w:tcW w:w="579"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2.67</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722"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脱乙烷塔</w:t>
            </w:r>
          </w:p>
        </w:tc>
        <w:tc>
          <w:tcPr>
            <w:tcW w:w="545"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2.65</w:t>
            </w:r>
          </w:p>
        </w:tc>
        <w:tc>
          <w:tcPr>
            <w:tcW w:w="545"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2.70</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53.1</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45.3</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53.6</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65.2</w:t>
            </w:r>
          </w:p>
        </w:tc>
        <w:tc>
          <w:tcPr>
            <w:tcW w:w="579"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70</w:t>
            </w:r>
          </w:p>
        </w:tc>
        <w:tc>
          <w:tcPr>
            <w:tcW w:w="434" w:type="pct"/>
            <w:tcBorders>
              <w:top w:val="dotted" w:color="auto" w:sz="4" w:space="0"/>
              <w:left w:val="dotted" w:color="auto" w:sz="4" w:space="0"/>
              <w:bottom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4"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722"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丙烯塔</w:t>
            </w:r>
          </w:p>
        </w:tc>
        <w:tc>
          <w:tcPr>
            <w:tcW w:w="545"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2.1</w:t>
            </w:r>
          </w:p>
        </w:tc>
        <w:tc>
          <w:tcPr>
            <w:tcW w:w="545"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2.2</w:t>
            </w:r>
          </w:p>
        </w:tc>
        <w:tc>
          <w:tcPr>
            <w:tcW w:w="434"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55</w:t>
            </w:r>
          </w:p>
        </w:tc>
        <w:tc>
          <w:tcPr>
            <w:tcW w:w="434"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50.3</w:t>
            </w:r>
          </w:p>
        </w:tc>
        <w:tc>
          <w:tcPr>
            <w:tcW w:w="434"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51</w:t>
            </w:r>
          </w:p>
        </w:tc>
        <w:tc>
          <w:tcPr>
            <w:tcW w:w="434"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61.3</w:t>
            </w:r>
          </w:p>
        </w:tc>
        <w:tc>
          <w:tcPr>
            <w:tcW w:w="579"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19.5</w:t>
            </w:r>
          </w:p>
        </w:tc>
        <w:tc>
          <w:tcPr>
            <w:tcW w:w="434" w:type="pct"/>
            <w:tcBorders>
              <w:top w:val="dotted" w:color="auto" w:sz="4" w:space="0"/>
              <w:left w:val="dotted" w:color="auto" w:sz="4" w:space="0"/>
              <w:right w:val="dotted" w:color="auto" w:sz="4" w:space="0"/>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r>
    </w:tbl>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4</w:t>
      </w:r>
      <w:r>
        <w:rPr>
          <w:rFonts w:hint="default" w:ascii="Times New Roman" w:hAnsi="Times New Roman" w:eastAsia="宋体" w:cs="Times New Roman"/>
          <w:sz w:val="24"/>
          <w:szCs w:val="24"/>
        </w:rPr>
        <w:t>）原料、辅助材料和产品</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①原料</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装置原料为来自重油催化裂化装置的脱硫液化石油气。</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②产品</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产品有丙烯、丙烷、C4组份，副产少量含丙烯的脱乙烷塔顶不凝气。</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）装置的“三废”污染源排放</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本装置的废气主要为无组织排放的COD气体。</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本装置废水主要为机泵冷却水、地面冲洗水等构成的含油污水W1；各分馏塔顶回流罐排出的含油污水W2；生活污水等。蒸汽凝结水回收不外排。</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本装置基本不产生固体废物。气体分馏装置工艺流程见图</w:t>
      </w:r>
      <w:r>
        <w:rPr>
          <w:rFonts w:hint="default" w:ascii="Times New Roman" w:hAnsi="Times New Roman" w:eastAsia="宋体" w:cs="Times New Roman"/>
          <w:sz w:val="24"/>
          <w:szCs w:val="24"/>
          <w:lang w:val="en-US" w:eastAsia="zh-CN"/>
        </w:rPr>
        <w:t>3.5-4</w:t>
      </w:r>
      <w:r>
        <w:rPr>
          <w:rFonts w:hint="default" w:ascii="Times New Roman" w:hAnsi="Times New Roman" w:eastAsia="宋体" w:cs="Times New Roman"/>
          <w:sz w:val="24"/>
          <w:szCs w:val="24"/>
        </w:rPr>
        <w:t>。</w:t>
      </w:r>
    </w:p>
    <w:p>
      <w:pPr>
        <w:pStyle w:val="39"/>
        <w:ind w:firstLine="480"/>
        <w:rPr>
          <w:rFonts w:asciiTheme="minorEastAsia" w:hAnsiTheme="minorEastAsia" w:eastAsiaTheme="minorEastAsia"/>
        </w:rPr>
      </w:pPr>
    </w:p>
    <w:p>
      <w:pPr>
        <w:adjustRightInd w:val="0"/>
        <w:snapToGrid w:val="0"/>
        <w:jc w:val="center"/>
        <w:rPr>
          <w:rFonts w:asciiTheme="minorEastAsia" w:hAnsiTheme="minorEastAsia"/>
          <w:szCs w:val="21"/>
        </w:rPr>
      </w:pPr>
      <w:r>
        <w:rPr>
          <w:rFonts w:asciiTheme="minorEastAsia" w:hAnsiTheme="minorEastAsia"/>
          <w:sz w:val="24"/>
          <w:szCs w:val="20"/>
        </w:rPr>
        <w:drawing>
          <wp:inline distT="0" distB="0" distL="0" distR="0">
            <wp:extent cx="5759450" cy="3313430"/>
            <wp:effectExtent l="0" t="0" r="12700" b="12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3" cstate="print"/>
                    <a:stretch>
                      <a:fillRect/>
                    </a:stretch>
                  </pic:blipFill>
                  <pic:spPr>
                    <a:xfrm>
                      <a:off x="0" y="0"/>
                      <a:ext cx="5759450" cy="3314044"/>
                    </a:xfrm>
                    <a:prstGeom prst="rect">
                      <a:avLst/>
                    </a:prstGeom>
                  </pic:spPr>
                </pic:pic>
              </a:graphicData>
            </a:graphic>
          </wp:inline>
        </w:drawing>
      </w:r>
    </w:p>
    <w:p>
      <w:pPr>
        <w:keepNext w:val="0"/>
        <w:keepLines w:val="0"/>
        <w:pageBreakBefore w:val="0"/>
        <w:widowControl w:val="0"/>
        <w:tabs>
          <w:tab w:val="left" w:pos="2430"/>
        </w:tabs>
        <w:kinsoku/>
        <w:wordWrap/>
        <w:overflowPunct/>
        <w:topLinePunct w:val="0"/>
        <w:autoSpaceDE/>
        <w:autoSpaceDN/>
        <w:bidi w:val="0"/>
        <w:adjustRightInd/>
        <w:snapToGrid/>
        <w:spacing w:line="500" w:lineRule="exact"/>
        <w:jc w:val="center"/>
        <w:textAlignment w:val="auto"/>
        <w:rPr>
          <w:rFonts w:hint="default" w:ascii="Times New Roman" w:hAnsi="Times New Roman" w:cs="Times New Roman"/>
          <w:b/>
          <w:sz w:val="24"/>
          <w:szCs w:val="24"/>
        </w:rPr>
      </w:pPr>
      <w:bookmarkStart w:id="137" w:name="_Ref503180481"/>
      <w:r>
        <w:rPr>
          <w:rFonts w:hint="default" w:ascii="Times New Roman" w:hAnsi="Times New Roman" w:cs="Times New Roman"/>
          <w:b/>
          <w:sz w:val="24"/>
          <w:szCs w:val="24"/>
        </w:rPr>
        <w:t>图</w:t>
      </w:r>
      <w:bookmarkEnd w:id="137"/>
      <w:r>
        <w:rPr>
          <w:rFonts w:hint="default" w:ascii="Times New Roman" w:hAnsi="Times New Roman" w:cs="Times New Roman"/>
          <w:b/>
          <w:sz w:val="24"/>
          <w:szCs w:val="24"/>
          <w:lang w:val="en-US" w:eastAsia="zh-CN"/>
        </w:rPr>
        <w:t>3.</w:t>
      </w:r>
      <w:r>
        <w:rPr>
          <w:rFonts w:hint="eastAsia" w:ascii="Times New Roman" w:hAnsi="Times New Roman" w:cs="Times New Roman"/>
          <w:b/>
          <w:sz w:val="24"/>
          <w:szCs w:val="24"/>
          <w:lang w:val="en-US" w:eastAsia="zh-CN"/>
        </w:rPr>
        <w:t>1.2</w:t>
      </w:r>
      <w:r>
        <w:rPr>
          <w:rFonts w:hint="default" w:ascii="Times New Roman" w:hAnsi="Times New Roman" w:cs="Times New Roman"/>
          <w:b/>
          <w:sz w:val="24"/>
          <w:szCs w:val="24"/>
          <w:lang w:val="en-US" w:eastAsia="zh-CN"/>
        </w:rPr>
        <w:t xml:space="preserve">-4  </w:t>
      </w:r>
      <w:r>
        <w:rPr>
          <w:rFonts w:hint="default" w:ascii="Times New Roman" w:hAnsi="Times New Roman" w:cs="Times New Roman"/>
          <w:b/>
          <w:sz w:val="24"/>
          <w:szCs w:val="24"/>
        </w:rPr>
        <w:t>气体分馏装置工艺流程</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szCs w:val="20"/>
        </w:rPr>
      </w:pPr>
      <w:r>
        <w:rPr>
          <w:rFonts w:hint="default" w:ascii="Times New Roman" w:hAnsi="Times New Roman" w:cs="Times New Roman"/>
          <w:b/>
          <w:sz w:val="24"/>
          <w:szCs w:val="20"/>
        </w:rPr>
        <w:t>4、MTBE装置</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szCs w:val="20"/>
        </w:rPr>
      </w:pPr>
      <w:r>
        <w:rPr>
          <w:rFonts w:hint="default" w:ascii="Times New Roman" w:hAnsi="Times New Roman" w:cs="Times New Roman"/>
          <w:sz w:val="24"/>
          <w:szCs w:val="20"/>
        </w:rPr>
        <w:t>本装置的加工原料为来自气体分馏装置的混合C4组分（异丁烯组成）和外购的优质甲醇，生产MTBE产品；未反应的C4馏分送至液化气罐区作产品外销。</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szCs w:val="20"/>
        </w:rPr>
      </w:pPr>
      <w:r>
        <w:rPr>
          <w:rFonts w:hint="default" w:ascii="Times New Roman" w:hAnsi="Times New Roman" w:cs="Times New Roman"/>
          <w:sz w:val="24"/>
          <w:szCs w:val="20"/>
        </w:rPr>
        <w:t>本装置设计规模为MTBE产品8万吨/年，年开工时间8400小时。</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（1）主要工艺技术特点</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采用国内普通型混相膨胀床＋催化蒸馏组合工艺。主要特点为：</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采用混相膨胀床技术，通过反应压力来调节物料的汽化率，从而达到对反应温度及反应转化率的控制。由于充分利用了反应热，降低重沸器热量，从而达到了节能的目的。此外，反应物料自下部进入反应器，在一定的线速下，催化剂颗粒呈膨胀状态，且催化剂颗粒有轻微扰动，这大大加快了床层内的质量传递和热量传递，从而避免局部过热所造成的催化剂寿命缩短、催化剂结块等不良现象，同时也减少了二甲醚（DME）副反应的发生。</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转化率高。在反应蒸馏段，采用边分离边反应的多段分离和反应技术，不断打破合成MTBE的反应平衡，使化学反应不断向生成MTBE的方向进行，异丁烯的总转化率可达98%以上。</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在反应后期，为避免因催化剂活性降低所造成的异丁烯转化率的下降，可提压操作，使反应温度提高，加快反应速度。</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催化剂采用大孔强酸阳离子交换树脂，此催化剂交换当量高，低温活性好，耐高温，强度大。</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（2）工艺流程</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从上游气体分馏装置来的C4馏分进入C4原料缓冲罐，在此沉降分离掉可能携带的游离水，经C4原料泵升压后送至碳四净化器。从罐区来的甲醇经甲醇泵升压后一路送至催化蒸馏塔反应段的中部；另一路送至碳四甲醇混合器在此与C4充分混合后，醇烯比（摩尔比）保持在1.1:1左右，进入原料预热器加热后进入醚化反应器。</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反应器中装有大孔径磺酸阳离子交换树酯，原料中的异丁烯和甲醇在此反应生成MTBE。由于此反应为放热反应，温度由上而下逐步升高，物料部分气化，以气液混相从反应器顶部流出进入催化蒸馏塔进料-产品换热器，与MTBE产品换热至70℃后进入催化蒸馏塔。液相MTBE从塔底流出，经MTBE产品冷却器冷却至40℃后，送至罐区储存。未反应的甲醇和C4馏份以共沸物从塔顶馏出，经催化蒸馏塔冷凝器冷凝后进入催化蒸馏塔回流罐，由催化蒸馏塔回流泵抽出，冷凝液一部分送往塔顶作为回流，另一部分经萃取塔进料冷却器冷却后，送至甲醇萃取塔的下部作为进料。</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甲醇萃取塔用于分离未反应甲醇和C4馏份，用水作萃取剂。水进入萃取塔上部，向下流动，与自下而上的甲醇和C4馏份共沸物逆流接触，甲醇进入水相。萃余液从塔顶排至未反应C4罐，然后用未反应C4泵送至液化气罐区储存。萃取液为甲醇水溶液，从塔底用甲醇回收塔进料泵抽出，送至甲醇回收塔进料-萃取水换热器换热后进入甲醇回收塔。</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在甲醇回收塔中甲醇从水溶液中解析出来从塔顶馏出，经甲醇回收塔冷凝器冷凝后进入甲醇回收塔回流罐，由甲醇回收塔回流泵抽出，一部分送往塔顶作为回流，另一部分在装置内循环使用或送至甲醇罐区。塔底流出的是含微量甲醇的水，由萃取水泵加压后先和甲醇回收塔进料换热，再经萃取水冷却器冷却后送入甲醇萃取塔顶部循环使用。</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（3）装置操作条件</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b/>
          <w:sz w:val="24"/>
          <w:szCs w:val="24"/>
        </w:rPr>
      </w:pPr>
      <w:r>
        <w:rPr>
          <w:rFonts w:hint="default" w:ascii="Times New Roman" w:hAnsi="Times New Roman" w:cs="Times New Roman" w:eastAsiaTheme="minorEastAsia"/>
        </w:rPr>
        <w:t>装置的操作条件见表</w:t>
      </w:r>
      <w:r>
        <w:rPr>
          <w:rFonts w:hint="default" w:ascii="Times New Roman" w:hAnsi="Times New Roman" w:cs="Times New Roman" w:eastAsiaTheme="minorEastAsia"/>
          <w:lang w:val="en-US" w:eastAsia="zh-CN"/>
        </w:rPr>
        <w:t>3.</w:t>
      </w:r>
      <w:r>
        <w:rPr>
          <w:rFonts w:hint="eastAsia" w:ascii="Times New Roman" w:hAnsi="Times New Roman" w:cs="Times New Roman" w:eastAsiaTheme="minorEastAsia"/>
          <w:lang w:val="en-US" w:eastAsia="zh-CN"/>
        </w:rPr>
        <w:t>1.2</w:t>
      </w:r>
      <w:r>
        <w:rPr>
          <w:rFonts w:hint="default" w:ascii="Times New Roman" w:hAnsi="Times New Roman" w:cs="Times New Roman" w:eastAsiaTheme="minorEastAsia"/>
          <w:lang w:val="en-US" w:eastAsia="zh-CN"/>
        </w:rPr>
        <w:t>-9</w:t>
      </w:r>
      <w:r>
        <w:rPr>
          <w:rFonts w:hint="default" w:ascii="Times New Roman" w:hAnsi="Times New Roman" w:cs="Times New Roman" w:eastAsiaTheme="minorEastAsia"/>
        </w:rPr>
        <w:t>～</w:t>
      </w:r>
      <w:r>
        <w:rPr>
          <w:rFonts w:hint="default" w:ascii="Times New Roman" w:hAnsi="Times New Roman" w:cs="Times New Roman" w:eastAsiaTheme="minorEastAsia"/>
          <w:lang w:val="en-US" w:eastAsia="zh-CN"/>
        </w:rPr>
        <w:t>3.</w:t>
      </w:r>
      <w:r>
        <w:rPr>
          <w:rFonts w:hint="eastAsia" w:ascii="Times New Roman" w:hAnsi="Times New Roman" w:cs="Times New Roman" w:eastAsiaTheme="minorEastAsia"/>
          <w:lang w:val="en-US" w:eastAsia="zh-CN"/>
        </w:rPr>
        <w:t>1.2</w:t>
      </w:r>
      <w:r>
        <w:rPr>
          <w:rFonts w:hint="default" w:ascii="Times New Roman" w:hAnsi="Times New Roman" w:cs="Times New Roman" w:eastAsiaTheme="minorEastAsia"/>
          <w:lang w:val="en-US" w:eastAsia="zh-CN"/>
        </w:rPr>
        <w:t>-10</w:t>
      </w:r>
      <w:r>
        <w:rPr>
          <w:rFonts w:hint="default" w:ascii="Times New Roman" w:hAnsi="Times New Roman" w:cs="Times New Roman" w:eastAsiaTheme="minorEastAsia"/>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w:t>
      </w:r>
      <w:r>
        <w:rPr>
          <w:rFonts w:hint="default" w:ascii="Times New Roman" w:hAnsi="Times New Roman" w:eastAsia="宋体" w:cs="Times New Roman"/>
          <w:b/>
          <w:sz w:val="24"/>
          <w:szCs w:val="24"/>
          <w:lang w:val="en-US" w:eastAsia="zh-CN"/>
        </w:rPr>
        <w:t>3.</w:t>
      </w:r>
      <w:r>
        <w:rPr>
          <w:rFonts w:hint="eastAsia" w:ascii="Times New Roman" w:hAnsi="Times New Roman" w:eastAsia="宋体" w:cs="Times New Roman"/>
          <w:b/>
          <w:sz w:val="24"/>
          <w:szCs w:val="24"/>
          <w:lang w:val="en-US" w:eastAsia="zh-CN"/>
        </w:rPr>
        <w:t>1.2</w:t>
      </w:r>
      <w:r>
        <w:rPr>
          <w:rFonts w:hint="default" w:ascii="Times New Roman" w:hAnsi="Times New Roman" w:eastAsia="宋体" w:cs="Times New Roman"/>
          <w:b/>
          <w:sz w:val="24"/>
          <w:szCs w:val="24"/>
          <w:lang w:val="en-US" w:eastAsia="zh-CN"/>
        </w:rPr>
        <w:t xml:space="preserve">-9  </w:t>
      </w:r>
      <w:r>
        <w:rPr>
          <w:rFonts w:hint="default" w:ascii="Times New Roman" w:hAnsi="Times New Roman" w:eastAsia="宋体" w:cs="Times New Roman"/>
          <w:b/>
          <w:sz w:val="24"/>
          <w:szCs w:val="24"/>
        </w:rPr>
        <w:t xml:space="preserve"> MTBE装置预反应器主要操作条件表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4735"/>
        <w:gridCol w:w="1865"/>
        <w:gridCol w:w="1866"/>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796"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项目</w:t>
            </w:r>
          </w:p>
        </w:tc>
        <w:tc>
          <w:tcPr>
            <w:tcW w:w="2203" w:type="pct"/>
            <w:gridSpan w:val="2"/>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预反应器</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796"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工况</w:t>
            </w:r>
          </w:p>
        </w:tc>
        <w:tc>
          <w:tcPr>
            <w:tcW w:w="1101"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初期</w:t>
            </w:r>
          </w:p>
        </w:tc>
        <w:tc>
          <w:tcPr>
            <w:tcW w:w="1101"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后期</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796"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反应温度℃</w:t>
            </w:r>
          </w:p>
        </w:tc>
        <w:tc>
          <w:tcPr>
            <w:tcW w:w="1101"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75</w:t>
            </w:r>
          </w:p>
        </w:tc>
        <w:tc>
          <w:tcPr>
            <w:tcW w:w="1101"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796"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压力MPa（A）</w:t>
            </w:r>
          </w:p>
        </w:tc>
        <w:tc>
          <w:tcPr>
            <w:tcW w:w="1101"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0.85</w:t>
            </w:r>
          </w:p>
        </w:tc>
        <w:tc>
          <w:tcPr>
            <w:tcW w:w="1101"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796"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醇烯比（分子比）</w:t>
            </w:r>
          </w:p>
        </w:tc>
        <w:tc>
          <w:tcPr>
            <w:tcW w:w="1101"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1.15:1</w:t>
            </w:r>
          </w:p>
        </w:tc>
        <w:tc>
          <w:tcPr>
            <w:tcW w:w="1101" w:type="pct"/>
            <w:tcBorders>
              <w:tl2br w:val="nil"/>
              <w:tr2bl w:val="nil"/>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1.15:1</w:t>
            </w:r>
          </w:p>
        </w:tc>
      </w:tr>
    </w:tbl>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w:t>
      </w:r>
      <w:r>
        <w:rPr>
          <w:rFonts w:hint="default" w:ascii="Times New Roman" w:hAnsi="Times New Roman" w:eastAsia="宋体" w:cs="Times New Roman"/>
          <w:b/>
          <w:sz w:val="24"/>
          <w:szCs w:val="24"/>
          <w:lang w:val="en-US" w:eastAsia="zh-CN"/>
        </w:rPr>
        <w:t>3.</w:t>
      </w:r>
      <w:r>
        <w:rPr>
          <w:rFonts w:hint="eastAsia" w:ascii="Times New Roman" w:hAnsi="Times New Roman" w:eastAsia="宋体" w:cs="Times New Roman"/>
          <w:b/>
          <w:sz w:val="24"/>
          <w:szCs w:val="24"/>
          <w:lang w:val="en-US" w:eastAsia="zh-CN"/>
        </w:rPr>
        <w:t>1.2</w:t>
      </w:r>
      <w:r>
        <w:rPr>
          <w:rFonts w:hint="default" w:ascii="Times New Roman" w:hAnsi="Times New Roman" w:eastAsia="宋体" w:cs="Times New Roman"/>
          <w:b/>
          <w:sz w:val="24"/>
          <w:szCs w:val="24"/>
          <w:lang w:val="en-US" w:eastAsia="zh-CN"/>
        </w:rPr>
        <w:t xml:space="preserve">-10 </w:t>
      </w:r>
      <w:r>
        <w:rPr>
          <w:rFonts w:hint="default" w:ascii="Times New Roman" w:hAnsi="Times New Roman" w:eastAsia="宋体" w:cs="Times New Roman"/>
          <w:b/>
          <w:sz w:val="24"/>
          <w:szCs w:val="24"/>
        </w:rPr>
        <w:t xml:space="preserve">  MTBE装置塔器主要操作条件表</w:t>
      </w:r>
    </w:p>
    <w:tbl>
      <w:tblPr>
        <w:tblStyle w:val="21"/>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344"/>
        <w:gridCol w:w="656"/>
        <w:gridCol w:w="656"/>
        <w:gridCol w:w="823"/>
        <w:gridCol w:w="1015"/>
        <w:gridCol w:w="64"/>
        <w:gridCol w:w="908"/>
        <w:gridCol w:w="862"/>
        <w:gridCol w:w="1269"/>
        <w:gridCol w:w="86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07" w:hRule="atLeast"/>
        </w:trPr>
        <w:tc>
          <w:tcPr>
            <w:tcW w:w="793" w:type="pct"/>
            <w:vMerge w:val="restart"/>
            <w:tcBorders>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项目</w:t>
            </w:r>
          </w:p>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进料</w:t>
            </w:r>
          </w:p>
        </w:tc>
        <w:tc>
          <w:tcPr>
            <w:tcW w:w="1859" w:type="pct"/>
            <w:gridSpan w:val="4"/>
            <w:tcBorders>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操作温度℃</w:t>
            </w:r>
          </w:p>
        </w:tc>
        <w:tc>
          <w:tcPr>
            <w:tcW w:w="1832" w:type="pct"/>
            <w:gridSpan w:val="4"/>
            <w:tcBorders>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操作压力MPa（A）</w:t>
            </w:r>
          </w:p>
          <w:p>
            <w:pPr>
              <w:autoSpaceDE w:val="0"/>
              <w:autoSpaceDN w:val="0"/>
              <w:adjustRightInd w:val="0"/>
              <w:jc w:val="center"/>
              <w:rPr>
                <w:rFonts w:hint="default" w:ascii="Times New Roman" w:hAnsi="Times New Roman" w:cs="Times New Roman"/>
                <w:kern w:val="0"/>
                <w:sz w:val="18"/>
                <w:szCs w:val="18"/>
              </w:rPr>
            </w:pPr>
          </w:p>
        </w:tc>
        <w:tc>
          <w:tcPr>
            <w:tcW w:w="513" w:type="pct"/>
            <w:tcBorders>
              <w:left w:val="dotted" w:color="auto" w:sz="4" w:space="0"/>
              <w:bottom w:val="dotted" w:color="auto" w:sz="4" w:space="0"/>
              <w:right w:val="dotted" w:color="auto" w:sz="4" w:space="0"/>
            </w:tcBorders>
            <w:vAlign w:val="center"/>
          </w:tcPr>
          <w:p>
            <w:pPr>
              <w:widowControl/>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回流比</w:t>
            </w:r>
          </w:p>
          <w:p>
            <w:pPr>
              <w:autoSpaceDE w:val="0"/>
              <w:autoSpaceDN w:val="0"/>
              <w:adjustRightInd w:val="0"/>
              <w:jc w:val="center"/>
              <w:rPr>
                <w:rFonts w:hint="default" w:ascii="Times New Roman" w:hAnsi="Times New Roman" w:cs="Times New Roman"/>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5" w:hRule="atLeast"/>
        </w:trPr>
        <w:tc>
          <w:tcPr>
            <w:tcW w:w="793" w:type="pct"/>
            <w:vMerge w:val="continue"/>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p>
        </w:tc>
        <w:tc>
          <w:tcPr>
            <w:tcW w:w="38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进料</w:t>
            </w:r>
          </w:p>
        </w:tc>
        <w:tc>
          <w:tcPr>
            <w:tcW w:w="38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塔顶</w:t>
            </w:r>
          </w:p>
        </w:tc>
        <w:tc>
          <w:tcPr>
            <w:tcW w:w="486"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塔底</w:t>
            </w:r>
          </w:p>
        </w:tc>
        <w:tc>
          <w:tcPr>
            <w:tcW w:w="637" w:type="pct"/>
            <w:gridSpan w:val="2"/>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回流罐</w:t>
            </w:r>
          </w:p>
        </w:tc>
        <w:tc>
          <w:tcPr>
            <w:tcW w:w="536"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塔顶</w:t>
            </w:r>
          </w:p>
        </w:tc>
        <w:tc>
          <w:tcPr>
            <w:tcW w:w="509"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塔底</w:t>
            </w:r>
          </w:p>
        </w:tc>
        <w:tc>
          <w:tcPr>
            <w:tcW w:w="746"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回流罐</w:t>
            </w:r>
          </w:p>
        </w:tc>
        <w:tc>
          <w:tcPr>
            <w:tcW w:w="51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trPr>
        <w:tc>
          <w:tcPr>
            <w:tcW w:w="79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催化蒸馏塔</w:t>
            </w:r>
          </w:p>
        </w:tc>
        <w:tc>
          <w:tcPr>
            <w:tcW w:w="38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75.0</w:t>
            </w:r>
          </w:p>
        </w:tc>
        <w:tc>
          <w:tcPr>
            <w:tcW w:w="38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63.0</w:t>
            </w:r>
          </w:p>
        </w:tc>
        <w:tc>
          <w:tcPr>
            <w:tcW w:w="486"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135.1</w:t>
            </w:r>
          </w:p>
        </w:tc>
        <w:tc>
          <w:tcPr>
            <w:tcW w:w="637" w:type="pct"/>
            <w:gridSpan w:val="2"/>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58.7</w:t>
            </w:r>
          </w:p>
        </w:tc>
        <w:tc>
          <w:tcPr>
            <w:tcW w:w="536"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0.8</w:t>
            </w:r>
          </w:p>
        </w:tc>
        <w:tc>
          <w:tcPr>
            <w:tcW w:w="509"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0.85</w:t>
            </w:r>
          </w:p>
        </w:tc>
        <w:tc>
          <w:tcPr>
            <w:tcW w:w="746"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0.75</w:t>
            </w:r>
          </w:p>
        </w:tc>
        <w:tc>
          <w:tcPr>
            <w:tcW w:w="51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trPr>
        <w:tc>
          <w:tcPr>
            <w:tcW w:w="79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萃取塔</w:t>
            </w:r>
          </w:p>
        </w:tc>
        <w:tc>
          <w:tcPr>
            <w:tcW w:w="38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40</w:t>
            </w:r>
          </w:p>
        </w:tc>
        <w:tc>
          <w:tcPr>
            <w:tcW w:w="387"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40</w:t>
            </w:r>
          </w:p>
        </w:tc>
        <w:tc>
          <w:tcPr>
            <w:tcW w:w="486"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40</w:t>
            </w:r>
          </w:p>
        </w:tc>
        <w:tc>
          <w:tcPr>
            <w:tcW w:w="637" w:type="pct"/>
            <w:gridSpan w:val="2"/>
            <w:tcBorders>
              <w:top w:val="dotted" w:color="auto" w:sz="4" w:space="0"/>
              <w:left w:val="dotted" w:color="auto" w:sz="4" w:space="0"/>
              <w:bottom w:val="dotted" w:color="auto" w:sz="4" w:space="0"/>
              <w:right w:val="dotted" w:color="auto" w:sz="4" w:space="0"/>
            </w:tcBorders>
            <w:vAlign w:val="center"/>
          </w:tcPr>
          <w:p>
            <w:pPr>
              <w:widowControl/>
              <w:jc w:val="center"/>
              <w:rPr>
                <w:rFonts w:hint="default" w:ascii="Times New Roman" w:hAnsi="Times New Roman" w:cs="Times New Roman"/>
                <w:kern w:val="0"/>
                <w:sz w:val="18"/>
                <w:szCs w:val="18"/>
              </w:rPr>
            </w:pPr>
          </w:p>
          <w:p>
            <w:pPr>
              <w:autoSpaceDE w:val="0"/>
              <w:autoSpaceDN w:val="0"/>
              <w:adjustRightInd w:val="0"/>
              <w:jc w:val="center"/>
              <w:rPr>
                <w:rFonts w:hint="default" w:ascii="Times New Roman" w:hAnsi="Times New Roman" w:cs="Times New Roman"/>
                <w:kern w:val="0"/>
                <w:sz w:val="18"/>
                <w:szCs w:val="18"/>
              </w:rPr>
            </w:pPr>
          </w:p>
        </w:tc>
        <w:tc>
          <w:tcPr>
            <w:tcW w:w="536" w:type="pct"/>
            <w:tcBorders>
              <w:top w:val="dotted" w:color="auto" w:sz="4" w:space="0"/>
              <w:left w:val="dotted" w:color="auto" w:sz="4" w:space="0"/>
              <w:bottom w:val="dotted" w:color="auto" w:sz="4" w:space="0"/>
              <w:right w:val="dotted" w:color="auto" w:sz="4" w:space="0"/>
            </w:tcBorders>
            <w:vAlign w:val="center"/>
          </w:tcPr>
          <w:p>
            <w:pPr>
              <w:widowControl/>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0.6</w:t>
            </w:r>
          </w:p>
        </w:tc>
        <w:tc>
          <w:tcPr>
            <w:tcW w:w="509"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0.7</w:t>
            </w:r>
          </w:p>
        </w:tc>
        <w:tc>
          <w:tcPr>
            <w:tcW w:w="746"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p>
        </w:tc>
        <w:tc>
          <w:tcPr>
            <w:tcW w:w="513" w:type="pct"/>
            <w:tcBorders>
              <w:top w:val="dotted" w:color="auto" w:sz="4" w:space="0"/>
              <w:left w:val="dotted" w:color="auto" w:sz="4" w:space="0"/>
              <w:bottom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 w:hRule="atLeast"/>
        </w:trPr>
        <w:tc>
          <w:tcPr>
            <w:tcW w:w="793" w:type="pct"/>
            <w:tcBorders>
              <w:top w:val="dotted" w:color="auto" w:sz="4" w:space="0"/>
              <w:left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甲醇塔</w:t>
            </w:r>
          </w:p>
        </w:tc>
        <w:tc>
          <w:tcPr>
            <w:tcW w:w="387" w:type="pct"/>
            <w:tcBorders>
              <w:top w:val="dotted" w:color="auto" w:sz="4" w:space="0"/>
              <w:left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75</w:t>
            </w:r>
          </w:p>
        </w:tc>
        <w:tc>
          <w:tcPr>
            <w:tcW w:w="387" w:type="pct"/>
            <w:tcBorders>
              <w:top w:val="dotted" w:color="auto" w:sz="4" w:space="0"/>
              <w:left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81.8</w:t>
            </w:r>
          </w:p>
        </w:tc>
        <w:tc>
          <w:tcPr>
            <w:tcW w:w="486" w:type="pct"/>
            <w:tcBorders>
              <w:top w:val="dotted" w:color="auto" w:sz="4" w:space="0"/>
              <w:left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124</w:t>
            </w:r>
          </w:p>
        </w:tc>
        <w:tc>
          <w:tcPr>
            <w:tcW w:w="637" w:type="pct"/>
            <w:gridSpan w:val="2"/>
            <w:tcBorders>
              <w:top w:val="dotted" w:color="auto" w:sz="4" w:space="0"/>
              <w:left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71.0</w:t>
            </w:r>
          </w:p>
        </w:tc>
        <w:tc>
          <w:tcPr>
            <w:tcW w:w="536" w:type="pct"/>
            <w:tcBorders>
              <w:top w:val="dotted" w:color="auto" w:sz="4" w:space="0"/>
              <w:left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0.20</w:t>
            </w:r>
          </w:p>
        </w:tc>
        <w:tc>
          <w:tcPr>
            <w:tcW w:w="509" w:type="pct"/>
            <w:tcBorders>
              <w:top w:val="dotted" w:color="auto" w:sz="4" w:space="0"/>
              <w:left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0.23</w:t>
            </w:r>
          </w:p>
        </w:tc>
        <w:tc>
          <w:tcPr>
            <w:tcW w:w="746" w:type="pct"/>
            <w:tcBorders>
              <w:top w:val="dotted" w:color="auto" w:sz="4" w:space="0"/>
              <w:left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0.15</w:t>
            </w:r>
          </w:p>
        </w:tc>
        <w:tc>
          <w:tcPr>
            <w:tcW w:w="513" w:type="pct"/>
            <w:tcBorders>
              <w:top w:val="dotted" w:color="auto" w:sz="4" w:space="0"/>
              <w:left w:val="dotted" w:color="auto" w:sz="4" w:space="0"/>
              <w:right w:val="dotted" w:color="auto" w:sz="4" w:space="0"/>
            </w:tcBorders>
            <w:vAlign w:val="center"/>
          </w:tcPr>
          <w:p>
            <w:pPr>
              <w:autoSpaceDE w:val="0"/>
              <w:autoSpaceDN w:val="0"/>
              <w:adjustRightInd w:val="0"/>
              <w:jc w:val="center"/>
              <w:rPr>
                <w:rFonts w:hint="default" w:ascii="Times New Roman" w:hAnsi="Times New Roman" w:cs="Times New Roman"/>
                <w:kern w:val="0"/>
                <w:sz w:val="18"/>
                <w:szCs w:val="18"/>
              </w:rPr>
            </w:pPr>
            <w:r>
              <w:rPr>
                <w:rFonts w:hint="default" w:ascii="Times New Roman" w:hAnsi="Times New Roman" w:cs="Times New Roman"/>
                <w:kern w:val="0"/>
                <w:sz w:val="18"/>
                <w:szCs w:val="18"/>
              </w:rPr>
              <w:t>10</w:t>
            </w:r>
          </w:p>
        </w:tc>
      </w:tr>
    </w:tbl>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w:t>
      </w:r>
      <w:r>
        <w:rPr>
          <w:rFonts w:hint="default" w:ascii="Times New Roman" w:hAnsi="Times New Roman" w:cs="Times New Roman" w:eastAsiaTheme="minorEastAsia"/>
          <w:lang w:val="en-US" w:eastAsia="zh-CN"/>
        </w:rPr>
        <w:t>4</w:t>
      </w:r>
      <w:r>
        <w:rPr>
          <w:rFonts w:hint="default" w:ascii="Times New Roman" w:hAnsi="Times New Roman" w:cs="Times New Roman" w:eastAsiaTheme="minorEastAsia"/>
        </w:rPr>
        <w:t>）原料、产品</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①装置原料为工业甲醇和混合碳四。</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②辅助材料主要为净化器催化剂、预反应器催化剂和催化蒸馏塔催化剂。</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③装置的产品为MTBE。</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lang w:eastAsia="zh-CN"/>
        </w:rPr>
        <w:t>（</w:t>
      </w:r>
      <w:r>
        <w:rPr>
          <w:rFonts w:hint="default" w:ascii="Times New Roman" w:hAnsi="Times New Roman" w:cs="Times New Roman" w:eastAsiaTheme="minorEastAsia"/>
          <w:lang w:val="en-US" w:eastAsia="zh-CN"/>
        </w:rPr>
        <w:t>5</w:t>
      </w:r>
      <w:r>
        <w:rPr>
          <w:rFonts w:hint="default" w:ascii="Times New Roman" w:hAnsi="Times New Roman" w:cs="Times New Roman" w:eastAsiaTheme="minorEastAsia"/>
          <w:lang w:eastAsia="zh-CN"/>
        </w:rPr>
        <w:t>）</w:t>
      </w:r>
      <w:r>
        <w:rPr>
          <w:rFonts w:hint="default" w:ascii="Times New Roman" w:hAnsi="Times New Roman" w:cs="Times New Roman" w:eastAsiaTheme="minorEastAsia"/>
        </w:rPr>
        <w:t>装置的“三废”污染源排放</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本装置产生的污染物主要有废气、废水和固体废物。</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本装置的废气主要来自甲醇回收塔顶回流罐工艺废气G1及装置无组织排放的废气，主要含COD和甲醇。</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装置废水主要来自机泵冷却、地面冲洗及原料罐（C4混合组分）切出的含油废水W1；甲醇回收塔进料闪蒸罐排出的含微量甲醇的废水W2；生活污水等。蒸汽凝结水回收不外排。本装置固体废物为原料净化-醚化反应器排出的各种废树脂催化剂等MTBE装置工艺流程见图</w:t>
      </w:r>
      <w:r>
        <w:rPr>
          <w:rFonts w:hint="default" w:ascii="Times New Roman" w:hAnsi="Times New Roman" w:cs="Times New Roman" w:eastAsiaTheme="minorEastAsia"/>
          <w:lang w:val="en-US" w:eastAsia="zh-CN"/>
        </w:rPr>
        <w:t>3.</w:t>
      </w:r>
      <w:r>
        <w:rPr>
          <w:rFonts w:hint="eastAsia" w:ascii="Times New Roman" w:hAnsi="Times New Roman" w:cs="Times New Roman" w:eastAsiaTheme="minorEastAsia"/>
          <w:lang w:val="en-US" w:eastAsia="zh-CN"/>
        </w:rPr>
        <w:t>1.2</w:t>
      </w:r>
      <w:r>
        <w:rPr>
          <w:rFonts w:hint="default" w:ascii="Times New Roman" w:hAnsi="Times New Roman" w:cs="Times New Roman" w:eastAsiaTheme="minorEastAsia"/>
          <w:lang w:val="en-US" w:eastAsia="zh-CN"/>
        </w:rPr>
        <w:t>-5</w:t>
      </w:r>
      <w:r>
        <w:rPr>
          <w:rFonts w:hint="default" w:ascii="Times New Roman" w:hAnsi="Times New Roman" w:cs="Times New Roman" w:eastAsiaTheme="minorEastAsia"/>
        </w:rPr>
        <w:t>。</w:t>
      </w:r>
    </w:p>
    <w:p>
      <w:pPr>
        <w:keepNext/>
        <w:spacing w:line="312" w:lineRule="auto"/>
        <w:rPr>
          <w:rFonts w:asciiTheme="minorEastAsia" w:hAnsiTheme="minorEastAsia"/>
          <w:sz w:val="24"/>
          <w:szCs w:val="20"/>
        </w:rPr>
      </w:pPr>
      <w:r>
        <w:rPr>
          <w:rFonts w:asciiTheme="minorEastAsia" w:hAnsiTheme="minorEastAsia"/>
          <w:sz w:val="24"/>
          <w:szCs w:val="20"/>
        </w:rPr>
        <w:drawing>
          <wp:inline distT="0" distB="0" distL="0" distR="0">
            <wp:extent cx="5791200" cy="3514725"/>
            <wp:effectExtent l="0" t="0" r="0" b="9525"/>
            <wp:docPr id="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8"/>
                    <pic:cNvPicPr>
                      <a:picLocks noChangeAspect="1" noChangeArrowheads="1"/>
                    </pic:cNvPicPr>
                  </pic:nvPicPr>
                  <pic:blipFill>
                    <a:blip r:embed="rId14" cstate="print"/>
                    <a:srcRect r="-598" b="4448"/>
                    <a:stretch>
                      <a:fillRect/>
                    </a:stretch>
                  </pic:blipFill>
                  <pic:spPr>
                    <a:xfrm>
                      <a:off x="0" y="0"/>
                      <a:ext cx="5797328" cy="3518444"/>
                    </a:xfrm>
                    <a:prstGeom prst="rect">
                      <a:avLst/>
                    </a:prstGeom>
                    <a:noFill/>
                    <a:ln w="9525">
                      <a:noFill/>
                      <a:miter lim="800000"/>
                      <a:headEnd/>
                      <a:tailEnd/>
                    </a:ln>
                  </pic:spPr>
                </pic:pic>
              </a:graphicData>
            </a:graphic>
          </wp:inline>
        </w:drawing>
      </w:r>
    </w:p>
    <w:p>
      <w:pPr>
        <w:spacing w:beforeLines="30" w:afterLines="30"/>
        <w:jc w:val="center"/>
        <w:rPr>
          <w:rFonts w:hint="default" w:ascii="Times New Roman" w:hAnsi="Times New Roman" w:cs="Times New Roman"/>
          <w:b/>
          <w:sz w:val="24"/>
          <w:szCs w:val="20"/>
        </w:rPr>
      </w:pPr>
      <w:bookmarkStart w:id="138" w:name="_Ref503181034"/>
      <w:r>
        <w:rPr>
          <w:rFonts w:hint="default" w:ascii="Times New Roman" w:hAnsi="Times New Roman" w:cs="Times New Roman"/>
          <w:b/>
          <w:sz w:val="24"/>
          <w:szCs w:val="20"/>
        </w:rPr>
        <w:t>图</w:t>
      </w:r>
      <w:bookmarkEnd w:id="138"/>
      <w:r>
        <w:rPr>
          <w:rFonts w:hint="default" w:ascii="Times New Roman" w:hAnsi="Times New Roman" w:cs="Times New Roman"/>
          <w:b/>
          <w:sz w:val="24"/>
          <w:szCs w:val="20"/>
          <w:lang w:val="en-US" w:eastAsia="zh-CN"/>
        </w:rPr>
        <w:t>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 xml:space="preserve">-5  </w:t>
      </w:r>
      <w:r>
        <w:rPr>
          <w:rFonts w:hint="default" w:ascii="Times New Roman" w:hAnsi="Times New Roman" w:cs="Times New Roman"/>
          <w:b/>
          <w:sz w:val="24"/>
          <w:szCs w:val="20"/>
        </w:rPr>
        <w:t xml:space="preserve"> </w:t>
      </w:r>
      <w:r>
        <w:rPr>
          <w:rFonts w:hint="default" w:ascii="Times New Roman" w:hAnsi="Times New Roman" w:cs="Times New Roman"/>
          <w:b/>
          <w:sz w:val="24"/>
          <w:szCs w:val="20"/>
          <w:lang w:val="zh-CN"/>
        </w:rPr>
        <w:t>MTBE装置工艺流程</w:t>
      </w:r>
    </w:p>
    <w:p>
      <w:pPr>
        <w:keepNext w:val="0"/>
        <w:keepLines w:val="0"/>
        <w:pageBreakBefore w:val="0"/>
        <w:widowControl w:val="0"/>
        <w:numPr>
          <w:ilvl w:val="0"/>
          <w:numId w:val="0"/>
        </w:numPr>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eastAsiaTheme="minorEastAsia"/>
          <w:snapToGrid w:val="0"/>
          <w:kern w:val="0"/>
          <w:sz w:val="24"/>
          <w:szCs w:val="24"/>
          <w:lang w:val="en-US" w:eastAsia="zh-CN" w:bidi="ar-SA"/>
        </w:rPr>
      </w:pPr>
      <w:r>
        <w:rPr>
          <w:rFonts w:hint="eastAsia" w:ascii="Times New Roman" w:hAnsi="Times New Roman" w:cs="Times New Roman"/>
          <w:b/>
          <w:sz w:val="24"/>
          <w:szCs w:val="20"/>
          <w:lang w:val="en-US" w:eastAsia="zh-CN"/>
        </w:rPr>
        <w:t>5、丙烷脱氢</w:t>
      </w:r>
      <w:r>
        <w:rPr>
          <w:rFonts w:hint="default" w:ascii="Times New Roman" w:hAnsi="Times New Roman" w:cs="Times New Roman"/>
          <w:b/>
          <w:sz w:val="24"/>
          <w:szCs w:val="20"/>
        </w:rPr>
        <w:t>装置</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default" w:ascii="Times New Roman" w:hAnsi="Times New Roman" w:cs="Times New Roman" w:eastAsiaTheme="minorEastAsia"/>
          <w:snapToGrid w:val="0"/>
          <w:kern w:val="0"/>
          <w:sz w:val="24"/>
          <w:szCs w:val="24"/>
          <w:lang w:val="en-US" w:eastAsia="zh-CN" w:bidi="ar-SA"/>
        </w:rPr>
      </w:pPr>
      <w:r>
        <w:rPr>
          <w:rFonts w:hint="eastAsia" w:ascii="Times New Roman" w:hAnsi="Times New Roman" w:cs="Times New Roman" w:eastAsiaTheme="minorEastAsia"/>
          <w:snapToGrid w:val="0"/>
          <w:kern w:val="0"/>
          <w:sz w:val="24"/>
          <w:szCs w:val="24"/>
          <w:lang w:val="en-US" w:eastAsia="zh-CN" w:bidi="ar-SA"/>
        </w:rPr>
        <w:t>本装置</w:t>
      </w:r>
      <w:r>
        <w:rPr>
          <w:rFonts w:hint="default" w:ascii="Times New Roman" w:hAnsi="Times New Roman" w:cs="Times New Roman" w:eastAsiaTheme="minorEastAsia"/>
          <w:snapToGrid w:val="0"/>
          <w:kern w:val="0"/>
          <w:sz w:val="24"/>
          <w:szCs w:val="24"/>
          <w:lang w:val="en-US" w:eastAsia="zh-CN" w:bidi="ar-SA"/>
        </w:rPr>
        <w:t>以呼和浩特石化公司现有280万吨/年催化裂化装置副产丙烷为原料，建设5万吨/年丙烷脱氢装置，将丙烷脱氢的富含丙烯的混合碳三产品（以下简称混合碳三）送至现有气体分馏装置进行分离，干气送至PSA II装置回收氢气。呼和浩特石化公司建设丙烷脱氢装置，原料丙烷供应有保障，增产丙烯厂内加工无需外销，依托条件好，项目效益较好。</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（1）主要工艺技术特点</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装置采用循环流化床脱氢工艺，反应和再生均连续进行，两器均采用“同向并流反应器结构”，催化剂利用“气力输送原理”由气相介质输送至高位缓存区，从而实现两器间催化剂密相下流式输送，最大程度降低氮气用量。反应器采用密相流化床层反应器，通过高温再生催化剂携带的热量补充丙烷脱氢反应所需要的反应热，由于反应器床层线速偏低，反应器内烷烃与催化剂接触效率较低，为保证烷烃与催化剂充分接触需设置烷烃与催化剂间的强化传质传热设施，实现脱氢反应。再生选用烧焦罐快速床再生方式，气体为连续相、催化剂为分散相，具有烧焦效率高、传热速度快，加之后部的稀相管，可实现催化剂、烟气的强制二次混合、促进CO燃烧，从而大大降低了稀相及后部尾燃的机率，二密相仅作为再生催化剂的缓冲空间，基本不参与烧焦，杜绝了大剂油比对再生烧焦过程的影响，使再生过程更加稳定、安全。</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ADHO脱氢催化剂采用中国石油大学（华东）开发的具有自主知识产权的绿色环保型催化剂-W系烷烃脱氢催化剂，采用喷雾干燥成型技术制得脱氢催化剂的各物性参数（磨损指数、粒度分布等）均达到了循环流化床反应器对催化剂的性能要求，装置内催化剂消耗为自然跑损（约1.6kg/t丙烷）。</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（2）工艺流程</w:t>
      </w:r>
    </w:p>
    <w:p>
      <w:pPr>
        <w:pStyle w:val="39"/>
        <w:keepNext w:val="0"/>
        <w:keepLines w:val="0"/>
        <w:pageBreakBefore w:val="0"/>
        <w:widowControl w:val="0"/>
        <w:numPr>
          <w:ilvl w:val="0"/>
          <w:numId w:val="1"/>
        </w:numPr>
        <w:kinsoku/>
        <w:wordWrap/>
        <w:overflowPunct/>
        <w:topLinePunct w:val="0"/>
        <w:autoSpaceDE/>
        <w:autoSpaceDN/>
        <w:bidi w:val="0"/>
        <w:adjustRightInd w:val="0"/>
        <w:snapToGrid w:val="0"/>
        <w:spacing w:line="560" w:lineRule="exact"/>
        <w:ind w:left="0" w:leftChars="0" w:firstLine="512"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 xml:space="preserve">反应再生及主风机部分 </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经反应油气-丙烷原料换热器（E-201）预热后的丙烷原料气体，送至原料预热炉（F-101）进一步升温后进入反应器（R-101）底部，通过分布器均匀分配后进入催化剂床层进行脱氢反应。反应油气经稀相管出口快分气固分离，催化剂进入二密相，气相进入反应器稀相，在稀相经过两级旋风分离器与催化剂分离后离开反应器，经反应油气-丙烷原料换热器（E-201）冷却后进入反应油气水洗塔（C-202）。</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反应器二密相内的待生催化剂经待生斜管靠重力流输送至再生器（R-102）烧焦罐床层与主风接触烧焦。烟气与再生催化剂经过稀相管出口快分进行初步分离，催化剂进入二密相，一部分进入再生催化剂汽提段，汽提后经再生斜管靠重力流进入反应器床层，二密相其余催化剂经外循环管滑阀返回烧焦罐底部，目的是提高烧焦罐底部温度，满足补燃的燃料气的起燃温度要求。烟气经两级旋风分离器，分离出催化剂细粉后，先送至余热锅炉（B-501），再送至烟气水洗塔（C-201）。</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由于丙烷脱氢反应过程生焦量太低无法维持热平衡，因此烧焦罐密相需引入燃料气，通过燃料气燃烧放热维持装置整体热平衡。再生器烧焦及补燃所需的主风由主风机（K-101）提供。</w:t>
      </w:r>
    </w:p>
    <w:p>
      <w:pPr>
        <w:pStyle w:val="39"/>
        <w:keepNext w:val="0"/>
        <w:keepLines w:val="0"/>
        <w:pageBreakBefore w:val="0"/>
        <w:widowControl w:val="0"/>
        <w:numPr>
          <w:ilvl w:val="0"/>
          <w:numId w:val="1"/>
        </w:numPr>
        <w:kinsoku/>
        <w:wordWrap/>
        <w:overflowPunct/>
        <w:topLinePunct w:val="0"/>
        <w:autoSpaceDE/>
        <w:autoSpaceDN/>
        <w:bidi w:val="0"/>
        <w:adjustRightInd w:val="0"/>
        <w:snapToGrid w:val="0"/>
        <w:spacing w:line="560" w:lineRule="exact"/>
        <w:ind w:left="0" w:leftChars="0" w:firstLine="400" w:firstLineChars="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水洗及余热锅炉部分</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(1)烟气水洗部分</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再生器出口烟气进入余热锅炉（B-501）回收热量后，进入烟气洗涤塔（C-201）下部，烟气在洗涤塔内经过水洗后脱除烟气中携带的催化剂细粉后排入大气。烟气洗涤塔共设一个洗涤段，包括20层挡板和4层塔板。塔底洗涤水自流进入烟气洗涤水沉降罐（D-201），沉降后浓浆经烟气浓浆泵（P-201AB）送至油气洗涤水沉降罐（D-202）。清液经由烟气洗涤水循环泵（P-202AB）加压并通过烟气洗涤水冷却器（E-203）冷却后，返回塔顶。</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(2)油气水洗部分</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冷却后的反应油气进入反应油气洗涤塔（C-202）下部，油气在洗涤塔内顺序经过两段水洗后脱除油气中携带的催化剂细粉，并将油气温度降到40℃左右后进入富气压缩机（K-301），经过三级压缩后的富气冷却后送至吸收稳定部分。</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洗涤塔下段洗涤水从洗涤塔底自流进入洗涤水沉降罐（D-202），沉降后的催化剂浓浆经反应油气浓浆泵（P-204AB）送至催化装置进行处理。沉降罐清液经净化水泵（P-203AB）加压后，一部分送至烟气洗涤水沉降罐（D-201），一部分返回洗涤塔下段人字挡板上部。上段洗涤水从塔盘下部集油箱抽出后，通过洗涤塔中段水循环泵（P-206AB）加压，大部分经反应油气上段洗涤水水冷器（E-204AB）降温至40℃，并返回反应油气洗涤塔（C-202）塔顶，洗涤塔顶部设有除盐水补水线。少量上段洗涤水返回洗涤塔下段人字挡板上部。</w:t>
      </w:r>
    </w:p>
    <w:p>
      <w:pPr>
        <w:pStyle w:val="39"/>
        <w:keepNext w:val="0"/>
        <w:keepLines w:val="0"/>
        <w:pageBreakBefore w:val="0"/>
        <w:widowControl w:val="0"/>
        <w:numPr>
          <w:ilvl w:val="0"/>
          <w:numId w:val="1"/>
        </w:numPr>
        <w:kinsoku/>
        <w:wordWrap/>
        <w:overflowPunct/>
        <w:topLinePunct w:val="0"/>
        <w:autoSpaceDE/>
        <w:autoSpaceDN/>
        <w:bidi w:val="0"/>
        <w:adjustRightInd w:val="0"/>
        <w:snapToGrid w:val="0"/>
        <w:spacing w:line="560" w:lineRule="exact"/>
        <w:ind w:left="0" w:leftChars="0" w:firstLine="400" w:firstLineChars="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气压机部分收集的含油污水均返回水洗部分进行循环利用。</w:t>
      </w:r>
    </w:p>
    <w:p>
      <w:pPr>
        <w:pStyle w:val="39"/>
        <w:keepNext w:val="0"/>
        <w:keepLines w:val="0"/>
        <w:pageBreakBefore w:val="0"/>
        <w:widowControl w:val="0"/>
        <w:numPr>
          <w:ilvl w:val="0"/>
          <w:numId w:val="1"/>
        </w:numPr>
        <w:kinsoku/>
        <w:wordWrap/>
        <w:overflowPunct/>
        <w:topLinePunct w:val="0"/>
        <w:autoSpaceDE/>
        <w:autoSpaceDN/>
        <w:bidi w:val="0"/>
        <w:adjustRightInd w:val="0"/>
        <w:snapToGrid w:val="0"/>
        <w:spacing w:line="560" w:lineRule="exact"/>
        <w:ind w:left="0" w:leftChars="0" w:firstLine="400" w:firstLineChars="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吸收稳定及丙烷汽化部分</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来自罐区的液相丙烷送至丙烷原料汽化罐（D-303），罐下设置两台热虹吸式丙烷汽化器（E-308、E-309），其中循环汽油-丙烷汽化器（E-308）使用循环汽油作为热源，凝结水-丙烷汽化器（E-309）使用稳定塔底重沸器加热蒸汽凝结水作为热源。汽化后的丙烷气体经过丙烷原料-循环汽油换热器（E-307），送至反应油气-丙烷原料换热器（E-201）。</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富气自反应油气水洗塔（C-202）塔顶至富气压缩机（K-301）进行三级压缩，经过冷却和分液后的气相进入吸收塔（C-301）塔底。吸收剂自吸收塔塔顶进入，吸收塔设置两个冷却中段。塔顶干气送至PSAII装置，塔底油经过吸收塔底油泵（P-301AB）压送至稳定塔进料换热器（E-310），与稳定塔底油换热后进入稳定塔（C-302）。</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稳定塔顶分离出混合碳三后，送至气分装置进行进一步分离。稳定塔顶回流罐（D-304）气相经稳定塔顶不凝气过冷器（E-313）冷却至15℃，进入稳定塔顶不凝气分液罐（D-306），该罐气相返回气压机出口，液相自流回稳定塔顶回流罐（D-304）。</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稳定塔底循环汽油（即作为循环吸收剂的加氢轻汽油）依次给稳定塔进料、丙烷原料和丙烷气化器加热后，冷却至15℃返回吸收塔顶，为避免二烯烃及C5以上组分累积，加氢汽油外甩约2.7t/h返回汽油加氢装置。</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热水型溴化锂制冷机组（WCH-501）所产生的7℃冷媒水经泵压送至各冷媒水用水点后，升温至12℃返回该撬装。</w:t>
      </w:r>
    </w:p>
    <w:p>
      <w:pPr>
        <w:pStyle w:val="39"/>
        <w:keepNext w:val="0"/>
        <w:keepLines w:val="0"/>
        <w:pageBreakBefore w:val="0"/>
        <w:widowControl w:val="0"/>
        <w:numPr>
          <w:ilvl w:val="0"/>
          <w:numId w:val="2"/>
        </w:numPr>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装置操作条件</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表</w:t>
      </w:r>
      <w:r>
        <w:rPr>
          <w:rFonts w:hint="eastAsia" w:ascii="Times New Roman" w:hAnsi="Times New Roman" w:cs="Times New Roman" w:eastAsiaTheme="minorEastAsia"/>
          <w:lang w:val="en-US" w:eastAsia="zh-CN"/>
        </w:rPr>
        <w:t>5-3</w:t>
      </w:r>
      <w:r>
        <w:rPr>
          <w:rFonts w:hint="default" w:ascii="Times New Roman" w:hAnsi="Times New Roman" w:cs="Times New Roman" w:eastAsiaTheme="minorEastAsia"/>
          <w:lang w:val="en-US" w:eastAsia="zh-CN"/>
        </w:rPr>
        <w:t>-1主要操作条件</w:t>
      </w:r>
    </w:p>
    <w:tbl>
      <w:tblPr>
        <w:tblStyle w:val="21"/>
        <w:tblW w:w="83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71"/>
        <w:gridCol w:w="3135"/>
        <w:gridCol w:w="1346"/>
        <w:gridCol w:w="18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名称</w:t>
            </w: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项目</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单位</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restart"/>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反应部分</w:t>
            </w: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反应器顶部压力</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MPa</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0.01~0.05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原料预热温度</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400~530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反应器反应温度</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560~620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反应器藏量</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20~30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restart"/>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再生部分</w:t>
            </w: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再生器顶部压力</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MPa</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0.01~0.05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再生器床层温度</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670~745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再生催化剂循环量</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t/h</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270~310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烟气过剩氧含量</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vol.%</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3.0~7.0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restart"/>
            <w:tcBorders>
              <w:top w:val="single" w:color="auto" w:sz="4" w:space="0"/>
              <w:lef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反应油气水洗部分</w:t>
            </w: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水洗塔顶压力</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MPa</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0.001~0.010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lef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水洗塔顶温度</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水洗塔底温度</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65~80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restart"/>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再生烟气水洗部分</w:t>
            </w: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水洗塔底压力</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MPa</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0.02~0.05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水洗塔顶温度</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45~55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水洗塔底温度</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55~65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restart"/>
            <w:tcBorders>
              <w:lef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气压机部分</w:t>
            </w: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气压机入口压力</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MPa</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0.001~0.003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气压机出口压力</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MPa</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1.1~1.3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restart"/>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吸收稳定部分</w:t>
            </w: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吸收塔顶压力</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MPa</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0.8~1.2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吸收塔顶温度</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12~20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吸收塔底温度</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稳定塔顶压力</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MPa</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1.3~1.8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稳定塔顶温度</w:t>
            </w:r>
          </w:p>
        </w:tc>
        <w:tc>
          <w:tcPr>
            <w:tcW w:w="1346" w:type="dxa"/>
            <w:tcBorders>
              <w:top w:val="single" w:color="auto" w:sz="4" w:space="0"/>
              <w:left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40~55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71" w:type="dxa"/>
            <w:vMerge w:val="continue"/>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p>
        </w:tc>
        <w:tc>
          <w:tcPr>
            <w:tcW w:w="3135" w:type="dxa"/>
            <w:tcBorders>
              <w:top w:val="single" w:color="auto" w:sz="4" w:space="0"/>
              <w:left w:val="single" w:color="auto" w:sz="4" w:space="0"/>
              <w:bottom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稳定塔底温度</w:t>
            </w:r>
          </w:p>
        </w:tc>
        <w:tc>
          <w:tcPr>
            <w:tcW w:w="1346"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1865" w:type="dxa"/>
            <w:tcBorders>
              <w:top w:val="single" w:color="auto" w:sz="4" w:space="0"/>
              <w:bottom w:val="single" w:color="auto" w:sz="4" w:space="0"/>
              <w:right w:val="single" w:color="auto" w:sz="4" w:space="0"/>
            </w:tcBorders>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150~162</w:t>
            </w:r>
          </w:p>
        </w:tc>
      </w:tr>
    </w:tbl>
    <w:p>
      <w:pPr>
        <w:pStyle w:val="39"/>
        <w:keepNext w:val="0"/>
        <w:keepLines w:val="0"/>
        <w:pageBreakBefore w:val="0"/>
        <w:widowControl w:val="0"/>
        <w:numPr>
          <w:ilvl w:val="0"/>
          <w:numId w:val="2"/>
        </w:numPr>
        <w:kinsoku/>
        <w:wordWrap/>
        <w:overflowPunct/>
        <w:topLinePunct w:val="0"/>
        <w:autoSpaceDE/>
        <w:autoSpaceDN/>
        <w:bidi w:val="0"/>
        <w:adjustRightInd w:val="0"/>
        <w:snapToGrid w:val="0"/>
        <w:spacing w:line="560" w:lineRule="exact"/>
        <w:ind w:left="0" w:leftChars="0" w:firstLine="512"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原料、辅助材料和产品</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bookmarkStart w:id="139" w:name="_Toc292183792"/>
      <w:bookmarkStart w:id="140" w:name="_Toc18744"/>
      <w:bookmarkStart w:id="141" w:name="_Toc292183619"/>
      <w:bookmarkStart w:id="142" w:name="_Toc302650499"/>
      <w:r>
        <w:rPr>
          <w:rFonts w:hint="default" w:ascii="Times New Roman" w:hAnsi="Times New Roman" w:cs="Times New Roman" w:eastAsiaTheme="minorEastAsia"/>
          <w:lang w:val="en-US" w:eastAsia="zh-CN"/>
        </w:rPr>
        <w:t>原料为气分装置产品丙烷，其规格见</w:t>
      </w:r>
      <w:r>
        <w:rPr>
          <w:rFonts w:hint="eastAsia" w:ascii="Times New Roman" w:hAnsi="Times New Roman" w:cs="Times New Roman" w:eastAsiaTheme="minorEastAsia"/>
          <w:lang w:val="en-US" w:eastAsia="zh-CN"/>
        </w:rPr>
        <w:t>下</w:t>
      </w:r>
      <w:r>
        <w:rPr>
          <w:rFonts w:hint="default" w:ascii="Times New Roman" w:hAnsi="Times New Roman" w:cs="Times New Roman" w:eastAsiaTheme="minorEastAsia"/>
          <w:lang w:val="en-US" w:eastAsia="zh-CN"/>
        </w:rPr>
        <w:t>表。</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表</w:t>
      </w:r>
      <w:r>
        <w:rPr>
          <w:rFonts w:hint="eastAsia" w:ascii="Times New Roman" w:hAnsi="Times New Roman" w:cs="Times New Roman" w:eastAsiaTheme="minorEastAsia"/>
          <w:lang w:val="en-US" w:eastAsia="zh-CN"/>
        </w:rPr>
        <w:t>5-4-1</w:t>
      </w:r>
      <w:r>
        <w:rPr>
          <w:rFonts w:hint="default" w:ascii="Times New Roman" w:hAnsi="Times New Roman" w:cs="Times New Roman" w:eastAsiaTheme="minorEastAsia"/>
          <w:lang w:val="en-US" w:eastAsia="zh-CN"/>
        </w:rPr>
        <w:t>丙烷脱氢装置原料丙烷性质</w:t>
      </w:r>
    </w:p>
    <w:tbl>
      <w:tblPr>
        <w:tblStyle w:val="21"/>
        <w:tblW w:w="8317" w:type="dxa"/>
        <w:jc w:val="center"/>
        <w:tblBorders>
          <w:top w:val="single" w:color="auto" w:sz="12" w:space="0"/>
          <w:left w:val="none" w:color="auto" w:sz="0" w:space="0"/>
          <w:bottom w:val="single" w:color="auto" w:sz="12" w:space="0"/>
          <w:right w:val="none" w:color="auto" w:sz="0" w:space="0"/>
          <w:insideH w:val="single" w:color="auto" w:sz="12" w:space="0"/>
          <w:insideV w:val="single" w:color="auto" w:sz="12" w:space="0"/>
        </w:tblBorders>
        <w:tblLayout w:type="fixed"/>
        <w:tblCellMar>
          <w:top w:w="0" w:type="dxa"/>
          <w:left w:w="0" w:type="dxa"/>
          <w:bottom w:w="0" w:type="dxa"/>
          <w:right w:w="0" w:type="dxa"/>
        </w:tblCellMar>
      </w:tblPr>
      <w:tblGrid>
        <w:gridCol w:w="4127"/>
        <w:gridCol w:w="4190"/>
      </w:tblGrid>
      <w:tr>
        <w:tblPrEx>
          <w:tblBorders>
            <w:top w:val="single" w:color="auto" w:sz="12" w:space="0"/>
            <w:left w:val="none" w:color="auto" w:sz="0" w:space="0"/>
            <w:bottom w:val="single" w:color="auto" w:sz="12" w:space="0"/>
            <w:right w:val="none" w:color="auto" w:sz="0" w:space="0"/>
            <w:insideH w:val="single" w:color="auto" w:sz="12" w:space="0"/>
            <w:insideV w:val="single" w:color="auto" w:sz="12" w:space="0"/>
          </w:tblBorders>
          <w:tblCellMar>
            <w:top w:w="0" w:type="dxa"/>
            <w:left w:w="0" w:type="dxa"/>
            <w:bottom w:w="0" w:type="dxa"/>
            <w:right w:w="0" w:type="dxa"/>
          </w:tblCellMar>
        </w:tblPrEx>
        <w:trPr>
          <w:trHeight w:val="567" w:hRule="atLeast"/>
          <w:jc w:val="center"/>
        </w:trPr>
        <w:tc>
          <w:tcPr>
            <w:tcW w:w="4127"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性质</w:t>
            </w:r>
          </w:p>
        </w:tc>
        <w:tc>
          <w:tcPr>
            <w:tcW w:w="4190"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数值</w:t>
            </w:r>
          </w:p>
        </w:tc>
      </w:tr>
      <w:tr>
        <w:tblPrEx>
          <w:tblBorders>
            <w:top w:val="single" w:color="auto" w:sz="12" w:space="0"/>
            <w:left w:val="none" w:color="auto" w:sz="0" w:space="0"/>
            <w:bottom w:val="single" w:color="auto" w:sz="12" w:space="0"/>
            <w:right w:val="none" w:color="auto" w:sz="0" w:space="0"/>
            <w:insideH w:val="single" w:color="auto" w:sz="12" w:space="0"/>
            <w:insideV w:val="single" w:color="auto" w:sz="12" w:space="0"/>
          </w:tblBorders>
          <w:tblCellMar>
            <w:top w:w="0" w:type="dxa"/>
            <w:left w:w="0" w:type="dxa"/>
            <w:bottom w:w="0" w:type="dxa"/>
            <w:right w:w="0" w:type="dxa"/>
          </w:tblCellMar>
        </w:tblPrEx>
        <w:trPr>
          <w:trHeight w:val="567" w:hRule="atLeast"/>
          <w:jc w:val="center"/>
        </w:trPr>
        <w:tc>
          <w:tcPr>
            <w:tcW w:w="4127"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密度（kg/m3）</w:t>
            </w:r>
          </w:p>
        </w:tc>
        <w:tc>
          <w:tcPr>
            <w:tcW w:w="4190"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453</w:t>
            </w:r>
          </w:p>
        </w:tc>
      </w:tr>
      <w:tr>
        <w:tblPrEx>
          <w:tblBorders>
            <w:top w:val="single" w:color="auto" w:sz="12" w:space="0"/>
            <w:left w:val="none" w:color="auto" w:sz="0" w:space="0"/>
            <w:bottom w:val="single" w:color="auto" w:sz="12" w:space="0"/>
            <w:right w:val="none" w:color="auto" w:sz="0" w:space="0"/>
            <w:insideH w:val="single" w:color="auto" w:sz="12" w:space="0"/>
            <w:insideV w:val="single" w:color="auto" w:sz="12" w:space="0"/>
          </w:tblBorders>
          <w:tblCellMar>
            <w:top w:w="0" w:type="dxa"/>
            <w:left w:w="0" w:type="dxa"/>
            <w:bottom w:w="0" w:type="dxa"/>
            <w:right w:w="0" w:type="dxa"/>
          </w:tblCellMar>
        </w:tblPrEx>
        <w:trPr>
          <w:trHeight w:val="567" w:hRule="atLeast"/>
          <w:jc w:val="center"/>
        </w:trPr>
        <w:tc>
          <w:tcPr>
            <w:tcW w:w="4127"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C3H8</w:t>
            </w:r>
          </w:p>
        </w:tc>
        <w:tc>
          <w:tcPr>
            <w:tcW w:w="4190"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98.49%</w:t>
            </w:r>
          </w:p>
        </w:tc>
      </w:tr>
      <w:tr>
        <w:tblPrEx>
          <w:tblBorders>
            <w:top w:val="single" w:color="auto" w:sz="12" w:space="0"/>
            <w:left w:val="none" w:color="auto" w:sz="0" w:space="0"/>
            <w:bottom w:val="single" w:color="auto" w:sz="12" w:space="0"/>
            <w:right w:val="none" w:color="auto" w:sz="0" w:space="0"/>
            <w:insideH w:val="single" w:color="auto" w:sz="12" w:space="0"/>
            <w:insideV w:val="single" w:color="auto" w:sz="12" w:space="0"/>
          </w:tblBorders>
          <w:tblCellMar>
            <w:top w:w="0" w:type="dxa"/>
            <w:left w:w="0" w:type="dxa"/>
            <w:bottom w:w="0" w:type="dxa"/>
            <w:right w:w="0" w:type="dxa"/>
          </w:tblCellMar>
        </w:tblPrEx>
        <w:trPr>
          <w:trHeight w:val="567" w:hRule="atLeast"/>
          <w:jc w:val="center"/>
        </w:trPr>
        <w:tc>
          <w:tcPr>
            <w:tcW w:w="4127"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C3H6</w:t>
            </w:r>
          </w:p>
        </w:tc>
        <w:tc>
          <w:tcPr>
            <w:tcW w:w="4190"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1.45%</w:t>
            </w:r>
          </w:p>
        </w:tc>
      </w:tr>
      <w:tr>
        <w:tblPrEx>
          <w:tblBorders>
            <w:top w:val="single" w:color="auto" w:sz="12" w:space="0"/>
            <w:left w:val="none" w:color="auto" w:sz="0" w:space="0"/>
            <w:bottom w:val="single" w:color="auto" w:sz="12" w:space="0"/>
            <w:right w:val="none" w:color="auto" w:sz="0" w:space="0"/>
            <w:insideH w:val="single" w:color="auto" w:sz="12" w:space="0"/>
            <w:insideV w:val="single" w:color="auto" w:sz="12" w:space="0"/>
          </w:tblBorders>
          <w:tblCellMar>
            <w:top w:w="0" w:type="dxa"/>
            <w:left w:w="0" w:type="dxa"/>
            <w:bottom w:w="0" w:type="dxa"/>
            <w:right w:w="0" w:type="dxa"/>
          </w:tblCellMar>
        </w:tblPrEx>
        <w:trPr>
          <w:trHeight w:val="567" w:hRule="atLeast"/>
          <w:jc w:val="center"/>
        </w:trPr>
        <w:tc>
          <w:tcPr>
            <w:tcW w:w="4127"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C4</w:t>
            </w:r>
          </w:p>
        </w:tc>
        <w:tc>
          <w:tcPr>
            <w:tcW w:w="4190"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0.06%</w:t>
            </w:r>
          </w:p>
        </w:tc>
      </w:tr>
      <w:tr>
        <w:tblPrEx>
          <w:tblBorders>
            <w:top w:val="single" w:color="auto" w:sz="12" w:space="0"/>
            <w:left w:val="none" w:color="auto" w:sz="0" w:space="0"/>
            <w:bottom w:val="single" w:color="auto" w:sz="12" w:space="0"/>
            <w:right w:val="none" w:color="auto" w:sz="0" w:space="0"/>
            <w:insideH w:val="single" w:color="auto" w:sz="12" w:space="0"/>
            <w:insideV w:val="single" w:color="auto" w:sz="12" w:space="0"/>
          </w:tblBorders>
          <w:tblCellMar>
            <w:top w:w="0" w:type="dxa"/>
            <w:left w:w="0" w:type="dxa"/>
            <w:bottom w:w="0" w:type="dxa"/>
            <w:right w:w="0" w:type="dxa"/>
          </w:tblCellMar>
        </w:tblPrEx>
        <w:trPr>
          <w:trHeight w:val="567" w:hRule="atLeast"/>
          <w:jc w:val="center"/>
        </w:trPr>
        <w:tc>
          <w:tcPr>
            <w:tcW w:w="4127"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合计</w:t>
            </w:r>
          </w:p>
        </w:tc>
        <w:tc>
          <w:tcPr>
            <w:tcW w:w="4190"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100%</w:t>
            </w:r>
          </w:p>
        </w:tc>
      </w:tr>
    </w:tbl>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512"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ADHO技术对原料的纯度没有要求，对硫、金属等含量也没有限制，不需要对原料进行预处理，表中原料性质可以满足装置的运行要求。</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b/>
          <w:bCs/>
          <w:lang w:val="en-US" w:eastAsia="zh-CN"/>
        </w:rPr>
      </w:pPr>
      <w:bookmarkStart w:id="143" w:name="_Toc11445"/>
      <w:bookmarkStart w:id="144" w:name="_Toc18193"/>
      <w:r>
        <w:rPr>
          <w:rFonts w:hint="default" w:ascii="Times New Roman" w:hAnsi="Times New Roman" w:cs="Times New Roman" w:eastAsiaTheme="minorEastAsia"/>
          <w:b/>
          <w:bCs/>
          <w:lang w:val="en-US" w:eastAsia="zh-CN"/>
        </w:rPr>
        <w:t>吸收剂来源与性质</w:t>
      </w:r>
      <w:bookmarkEnd w:id="143"/>
      <w:bookmarkEnd w:id="144"/>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装置外引少量催化汽油加氢装置轻汽油作为吸收塔的吸收剂。</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表</w:t>
      </w:r>
      <w:r>
        <w:rPr>
          <w:rFonts w:hint="eastAsia" w:ascii="Times New Roman" w:hAnsi="Times New Roman" w:cs="Times New Roman" w:eastAsiaTheme="minorEastAsia"/>
          <w:lang w:val="en-US" w:eastAsia="zh-CN"/>
        </w:rPr>
        <w:t>5-4-2</w:t>
      </w:r>
      <w:r>
        <w:rPr>
          <w:rFonts w:hint="default" w:ascii="Times New Roman" w:hAnsi="Times New Roman" w:cs="Times New Roman" w:eastAsiaTheme="minorEastAsia"/>
          <w:lang w:val="en-US" w:eastAsia="zh-CN"/>
        </w:rPr>
        <w:t>轻汽油性质</w:t>
      </w:r>
    </w:p>
    <w:tbl>
      <w:tblPr>
        <w:tblStyle w:val="21"/>
        <w:tblW w:w="83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71"/>
        <w:gridCol w:w="2775"/>
        <w:gridCol w:w="27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1" w:type="dxa"/>
            <w:tcBorders>
              <w:top w:val="single" w:color="auto" w:sz="4" w:space="0"/>
              <w:left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项目</w:t>
            </w:r>
          </w:p>
        </w:tc>
        <w:tc>
          <w:tcPr>
            <w:tcW w:w="2775" w:type="dxa"/>
            <w:tcBorders>
              <w:top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单位</w:t>
            </w:r>
          </w:p>
        </w:tc>
        <w:tc>
          <w:tcPr>
            <w:tcW w:w="2771" w:type="dxa"/>
            <w:tcBorders>
              <w:top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1" w:type="dxa"/>
            <w:tcBorders>
              <w:top w:val="single" w:color="auto" w:sz="4" w:space="0"/>
              <w:left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密度</w:t>
            </w:r>
          </w:p>
        </w:tc>
        <w:tc>
          <w:tcPr>
            <w:tcW w:w="2775" w:type="dxa"/>
            <w:tcBorders>
              <w:top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kg/m3</w:t>
            </w:r>
          </w:p>
        </w:tc>
        <w:tc>
          <w:tcPr>
            <w:tcW w:w="2771" w:type="dxa"/>
            <w:tcBorders>
              <w:top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&lt;650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1" w:type="dxa"/>
            <w:tcBorders>
              <w:top w:val="single" w:color="auto" w:sz="4" w:space="0"/>
              <w:left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初馏点</w:t>
            </w:r>
          </w:p>
        </w:tc>
        <w:tc>
          <w:tcPr>
            <w:tcW w:w="2775" w:type="dxa"/>
            <w:tcBorders>
              <w:top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2771" w:type="dxa"/>
            <w:tcBorders>
              <w:top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28.9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1" w:type="dxa"/>
            <w:tcBorders>
              <w:top w:val="single" w:color="auto" w:sz="4" w:space="0"/>
              <w:left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w:t>
            </w:r>
          </w:p>
        </w:tc>
        <w:tc>
          <w:tcPr>
            <w:tcW w:w="2775" w:type="dxa"/>
            <w:tcBorders>
              <w:top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2771" w:type="dxa"/>
            <w:tcBorders>
              <w:top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32.9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1" w:type="dxa"/>
            <w:tcBorders>
              <w:top w:val="single" w:color="auto" w:sz="4" w:space="0"/>
              <w:left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30%</w:t>
            </w:r>
          </w:p>
        </w:tc>
        <w:tc>
          <w:tcPr>
            <w:tcW w:w="2775" w:type="dxa"/>
            <w:tcBorders>
              <w:top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2771" w:type="dxa"/>
            <w:tcBorders>
              <w:top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36.5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1" w:type="dxa"/>
            <w:tcBorders>
              <w:top w:val="single" w:color="auto" w:sz="4" w:space="0"/>
              <w:left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50%</w:t>
            </w:r>
          </w:p>
        </w:tc>
        <w:tc>
          <w:tcPr>
            <w:tcW w:w="2775" w:type="dxa"/>
            <w:tcBorders>
              <w:top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2771" w:type="dxa"/>
            <w:tcBorders>
              <w:top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1" w:type="dxa"/>
            <w:tcBorders>
              <w:top w:val="single" w:color="auto" w:sz="4" w:space="0"/>
              <w:left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70%</w:t>
            </w:r>
          </w:p>
        </w:tc>
        <w:tc>
          <w:tcPr>
            <w:tcW w:w="2775" w:type="dxa"/>
            <w:tcBorders>
              <w:top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2771" w:type="dxa"/>
            <w:tcBorders>
              <w:top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1" w:type="dxa"/>
            <w:tcBorders>
              <w:top w:val="single" w:color="auto" w:sz="4" w:space="0"/>
              <w:left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90%</w:t>
            </w:r>
          </w:p>
        </w:tc>
        <w:tc>
          <w:tcPr>
            <w:tcW w:w="2775" w:type="dxa"/>
            <w:tcBorders>
              <w:top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2771" w:type="dxa"/>
            <w:tcBorders>
              <w:top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57.2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1" w:type="dxa"/>
            <w:tcBorders>
              <w:top w:val="single" w:color="auto" w:sz="4" w:space="0"/>
              <w:left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终馏点</w:t>
            </w:r>
          </w:p>
        </w:tc>
        <w:tc>
          <w:tcPr>
            <w:tcW w:w="2775" w:type="dxa"/>
            <w:tcBorders>
              <w:top w:val="single" w:color="auto" w:sz="4" w:space="0"/>
              <w:bottom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p>
        </w:tc>
        <w:tc>
          <w:tcPr>
            <w:tcW w:w="2771" w:type="dxa"/>
            <w:tcBorders>
              <w:top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76.7</w:t>
            </w:r>
          </w:p>
        </w:tc>
      </w:tr>
      <w:bookmarkEnd w:id="139"/>
      <w:bookmarkEnd w:id="140"/>
      <w:bookmarkEnd w:id="141"/>
      <w:bookmarkEnd w:id="142"/>
    </w:tbl>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b/>
          <w:bCs/>
          <w:lang w:val="en-US" w:eastAsia="zh-CN"/>
        </w:rPr>
      </w:pPr>
      <w:bookmarkStart w:id="145" w:name="_Toc13492"/>
      <w:bookmarkStart w:id="146" w:name="_Toc18"/>
      <w:r>
        <w:rPr>
          <w:rFonts w:hint="default" w:ascii="Times New Roman" w:hAnsi="Times New Roman" w:cs="Times New Roman" w:eastAsiaTheme="minorEastAsia"/>
          <w:b/>
          <w:bCs/>
          <w:lang w:val="en-US" w:eastAsia="zh-CN"/>
        </w:rPr>
        <w:t>产品性质</w:t>
      </w:r>
      <w:bookmarkEnd w:id="145"/>
      <w:bookmarkEnd w:id="146"/>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512"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丙烷脱氢反应产生的气体包括干气、丙烯、未反应丙烷、少量碳四。副产品干气送至PSAII装置，稳定塔顶的液态烃送至呼和浩特石化原有气体分馏装置进行分离。</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表</w:t>
      </w:r>
      <w:r>
        <w:rPr>
          <w:rFonts w:hint="eastAsia" w:ascii="Times New Roman" w:hAnsi="Times New Roman" w:cs="Times New Roman" w:eastAsiaTheme="minorEastAsia"/>
          <w:lang w:val="en-US" w:eastAsia="zh-CN"/>
        </w:rPr>
        <w:t>5-4-3</w:t>
      </w:r>
      <w:r>
        <w:rPr>
          <w:rFonts w:hint="default" w:ascii="Times New Roman" w:hAnsi="Times New Roman" w:cs="Times New Roman" w:eastAsiaTheme="minorEastAsia"/>
          <w:lang w:val="en-US" w:eastAsia="zh-CN"/>
        </w:rPr>
        <w:t>丙烷脱氢装置混合碳三组成</w:t>
      </w:r>
    </w:p>
    <w:tbl>
      <w:tblPr>
        <w:tblStyle w:val="21"/>
        <w:tblW w:w="8317" w:type="dxa"/>
        <w:jc w:val="center"/>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2"/>
        <w:gridCol w:w="3831"/>
        <w:gridCol w:w="2784"/>
      </w:tblGrid>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序号</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物料名称</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收率，wt%</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H2O</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0.02</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2</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H2</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0.03</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3</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N2</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0.06</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CH4</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0.15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5</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C2H6</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6</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C2H4</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0.20</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7</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C3H8</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65.39</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8</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C3H6</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32.45</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9</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C4</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0.9</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w:t>
            </w: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C5+</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0.3</w:t>
            </w:r>
          </w:p>
        </w:tc>
      </w:tr>
      <w:tr>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7" w:hRule="atLeast"/>
          <w:jc w:val="center"/>
        </w:trPr>
        <w:tc>
          <w:tcPr>
            <w:tcW w:w="1702"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p>
        </w:tc>
        <w:tc>
          <w:tcPr>
            <w:tcW w:w="3831"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合计</w:t>
            </w:r>
          </w:p>
        </w:tc>
        <w:tc>
          <w:tcPr>
            <w:tcW w:w="2784" w:type="dxa"/>
            <w:tcBorders>
              <w:top w:val="single" w:color="auto" w:sz="4" w:space="0"/>
              <w:left w:val="single" w:color="auto" w:sz="4" w:space="0"/>
              <w:bottom w:val="single" w:color="auto" w:sz="4" w:space="0"/>
              <w:right w:val="single" w:color="auto" w:sz="4" w:space="0"/>
            </w:tcBorders>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100.00</w:t>
            </w:r>
          </w:p>
        </w:tc>
      </w:tr>
    </w:tbl>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表</w:t>
      </w:r>
      <w:r>
        <w:rPr>
          <w:rFonts w:hint="eastAsia" w:ascii="Times New Roman" w:hAnsi="Times New Roman" w:cs="Times New Roman" w:eastAsiaTheme="minorEastAsia"/>
          <w:lang w:val="en-US" w:eastAsia="zh-CN"/>
        </w:rPr>
        <w:t>5-4-4</w:t>
      </w:r>
      <w:r>
        <w:rPr>
          <w:rFonts w:hint="default" w:ascii="Times New Roman" w:hAnsi="Times New Roman" w:cs="Times New Roman" w:eastAsiaTheme="minorEastAsia"/>
          <w:lang w:val="en-US" w:eastAsia="zh-CN"/>
        </w:rPr>
        <w:t>丙烷脱氢装置干气产品组成</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8"/>
        <w:gridCol w:w="3960"/>
        <w:gridCol w:w="27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序号</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物料名称</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收率，mol%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H2</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75.21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2</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H2O</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3</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N2</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5.18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4</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CH4</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5</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C2H6</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6</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C2H4</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7</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iC4H10</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8</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nC4H10</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9</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iC4H8</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nC4H8</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11</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cC4H8</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12</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1，3-C4H6</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13</w:t>
            </w: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C5+</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9.58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27"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p>
        </w:tc>
        <w:tc>
          <w:tcPr>
            <w:tcW w:w="2339"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合计</w:t>
            </w:r>
          </w:p>
        </w:tc>
        <w:tc>
          <w:tcPr>
            <w:tcW w:w="1633" w:type="pct"/>
            <w:noWrap/>
            <w:vAlign w:val="center"/>
          </w:tcPr>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100</w:t>
            </w:r>
          </w:p>
        </w:tc>
      </w:tr>
    </w:tbl>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w:t>
      </w:r>
      <w:r>
        <w:rPr>
          <w:rFonts w:hint="eastAsia" w:ascii="Times New Roman" w:hAnsi="Times New Roman" w:cs="Times New Roman" w:eastAsiaTheme="minorEastAsia"/>
          <w:lang w:val="en-US" w:eastAsia="zh-CN"/>
        </w:rPr>
        <w:t>5</w:t>
      </w:r>
      <w:r>
        <w:rPr>
          <w:rFonts w:hint="default" w:ascii="Times New Roman" w:hAnsi="Times New Roman" w:cs="Times New Roman" w:eastAsiaTheme="minorEastAsia"/>
          <w:lang w:val="en-US" w:eastAsia="zh-CN"/>
        </w:rPr>
        <w:t>）装置的“三废”污染源排放</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512"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本装置产生的污染源有废气、废水和固体废物三部分。</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512"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丙烷脱氢装置废气污染源主要为再生烟气G1、原料预热炉烟气G2，再生烟气经余热锅炉过热蒸汽，回收热量后经烟气洗涤塔后排入大气，原料预热炉烟气直接排放，主要污染物为SO2、NOx和废催化剂粉尘；另有装置运行过程中泄露等造成的无组织排放的烃类气体。在丙烷脱氢装置设置烟气污染物在线监测系统，监测数据送中心控制室DCS系统，并与呼市环保局在线联网。在线检测系统每班巡检一次，并建立台账，发现问题及时向相关处室汇报。</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512"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废水为来自丙烷脱氢装置分液罐废水、机泵冷却、地面冲洗等构成的含油污水W1；来自余热锅炉等产汽系统排出的生产废水W2；</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512"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本项目无废渣排放，催化剂细粉通过洗涤水浓浆夹带至催化装置处理。</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560" w:lineRule="exact"/>
        <w:ind w:leftChars="0" w:firstLine="512" w:firstLineChars="200"/>
        <w:jc w:val="left"/>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丙烷脱氢装置的工艺流程及排污节点见下图。</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512" w:firstLine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图</w:t>
      </w:r>
      <w:r>
        <w:rPr>
          <w:rFonts w:hint="eastAsia" w:ascii="Times New Roman" w:hAnsi="Times New Roman" w:cs="Times New Roman" w:eastAsiaTheme="minorEastAsia"/>
          <w:lang w:val="en-US" w:eastAsia="zh-CN"/>
        </w:rPr>
        <w:t>5-5-1</w:t>
      </w:r>
      <w:r>
        <w:rPr>
          <w:rFonts w:hint="default" w:ascii="Times New Roman" w:hAnsi="Times New Roman" w:cs="Times New Roman" w:eastAsiaTheme="minorEastAsia"/>
          <w:lang w:val="en-US" w:eastAsia="zh-CN"/>
        </w:rPr>
        <w:t>再生烟气排放点G1</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512" w:firstLine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drawing>
          <wp:inline distT="0" distB="0" distL="114300" distR="114300">
            <wp:extent cx="2833370" cy="4413250"/>
            <wp:effectExtent l="0" t="0" r="5080" b="6350"/>
            <wp:docPr id="29" name="图片 29" descr="屏幕截图 2022-03-25 15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屏幕截图 2022-03-25 153154"/>
                    <pic:cNvPicPr>
                      <a:picLocks noChangeAspect="1"/>
                    </pic:cNvPicPr>
                  </pic:nvPicPr>
                  <pic:blipFill>
                    <a:blip r:embed="rId15"/>
                    <a:stretch>
                      <a:fillRect/>
                    </a:stretch>
                  </pic:blipFill>
                  <pic:spPr>
                    <a:xfrm>
                      <a:off x="0" y="0"/>
                      <a:ext cx="2833370" cy="4413250"/>
                    </a:xfrm>
                    <a:prstGeom prst="rect">
                      <a:avLst/>
                    </a:prstGeom>
                  </pic:spPr>
                </pic:pic>
              </a:graphicData>
            </a:graphic>
          </wp:inline>
        </w:drawing>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512" w:firstLine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图</w:t>
      </w:r>
      <w:r>
        <w:rPr>
          <w:rFonts w:hint="eastAsia" w:ascii="Times New Roman" w:hAnsi="Times New Roman" w:cs="Times New Roman" w:eastAsiaTheme="minorEastAsia"/>
          <w:lang w:val="en-US" w:eastAsia="zh-CN"/>
        </w:rPr>
        <w:t>5-5-2</w:t>
      </w:r>
      <w:r>
        <w:rPr>
          <w:rFonts w:hint="default" w:ascii="Times New Roman" w:hAnsi="Times New Roman" w:cs="Times New Roman" w:eastAsiaTheme="minorEastAsia"/>
          <w:lang w:val="en-US" w:eastAsia="zh-CN"/>
        </w:rPr>
        <w:t>原料预热炉烟气排放点G2</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512" w:firstLineChars="200"/>
        <w:jc w:val="center"/>
        <w:textAlignment w:val="auto"/>
        <w:rPr>
          <w:rFonts w:hint="default" w:ascii="Times New Roman" w:hAnsi="Times New Roman" w:cs="Times New Roman" w:eastAsiaTheme="minorEastAsia"/>
          <w:lang w:val="en-US" w:eastAsia="zh-CN"/>
        </w:rPr>
      </w:pP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512" w:firstLine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drawing>
          <wp:inline distT="0" distB="0" distL="114300" distR="114300">
            <wp:extent cx="4133850" cy="3496310"/>
            <wp:effectExtent l="0" t="0" r="0" b="8890"/>
            <wp:docPr id="31" name="图片 31" descr="屏幕截图 2022-03-25 14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屏幕截图 2022-03-25 145141"/>
                    <pic:cNvPicPr>
                      <a:picLocks noChangeAspect="1"/>
                    </pic:cNvPicPr>
                  </pic:nvPicPr>
                  <pic:blipFill>
                    <a:blip r:embed="rId16"/>
                    <a:stretch>
                      <a:fillRect/>
                    </a:stretch>
                  </pic:blipFill>
                  <pic:spPr>
                    <a:xfrm>
                      <a:off x="0" y="0"/>
                      <a:ext cx="4133850" cy="3496310"/>
                    </a:xfrm>
                    <a:prstGeom prst="rect">
                      <a:avLst/>
                    </a:prstGeom>
                  </pic:spPr>
                </pic:pic>
              </a:graphicData>
            </a:graphic>
          </wp:inline>
        </w:drawing>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512" w:firstLine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图</w:t>
      </w:r>
      <w:r>
        <w:rPr>
          <w:rFonts w:hint="eastAsia" w:ascii="Times New Roman" w:hAnsi="Times New Roman" w:cs="Times New Roman" w:eastAsiaTheme="minorEastAsia"/>
          <w:lang w:val="en-US" w:eastAsia="zh-CN"/>
        </w:rPr>
        <w:t>5-5-3</w:t>
      </w:r>
      <w:r>
        <w:rPr>
          <w:rFonts w:hint="default" w:ascii="Times New Roman" w:hAnsi="Times New Roman" w:cs="Times New Roman" w:eastAsiaTheme="minorEastAsia"/>
          <w:lang w:val="en-US" w:eastAsia="zh-CN"/>
        </w:rPr>
        <w:t>含油污水排放点W1</w:t>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512" w:firstLine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drawing>
          <wp:inline distT="0" distB="0" distL="114300" distR="114300">
            <wp:extent cx="5267325" cy="2791460"/>
            <wp:effectExtent l="0" t="0" r="9525" b="8890"/>
            <wp:docPr id="32" name="图片 32" descr="屏幕截图 2022-03-25 155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屏幕截图 2022-03-25 155259"/>
                    <pic:cNvPicPr>
                      <a:picLocks noChangeAspect="1"/>
                    </pic:cNvPicPr>
                  </pic:nvPicPr>
                  <pic:blipFill>
                    <a:blip r:embed="rId17"/>
                    <a:stretch>
                      <a:fillRect/>
                    </a:stretch>
                  </pic:blipFill>
                  <pic:spPr>
                    <a:xfrm>
                      <a:off x="0" y="0"/>
                      <a:ext cx="5267325" cy="2791460"/>
                    </a:xfrm>
                    <a:prstGeom prst="rect">
                      <a:avLst/>
                    </a:prstGeom>
                  </pic:spPr>
                </pic:pic>
              </a:graphicData>
            </a:graphic>
          </wp:inline>
        </w:drawing>
      </w: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512" w:firstLineChars="200"/>
        <w:jc w:val="center"/>
        <w:textAlignment w:val="auto"/>
        <w:rPr>
          <w:rFonts w:hint="default" w:ascii="Times New Roman" w:hAnsi="Times New Roman" w:cs="Times New Roman" w:eastAsiaTheme="minorEastAsia"/>
          <w:lang w:val="en-US" w:eastAsia="zh-CN"/>
        </w:rPr>
      </w:pPr>
    </w:p>
    <w:p>
      <w:pPr>
        <w:pStyle w:val="39"/>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firstLine="512" w:firstLineChars="200"/>
        <w:jc w:val="center"/>
        <w:textAlignment w:val="auto"/>
        <w:rPr>
          <w:rFonts w:hint="default" w:ascii="Times New Roman" w:hAnsi="Times New Roman" w:cs="Times New Roman" w:eastAsiaTheme="minorEastAsia"/>
          <w:lang w:val="en-US" w:eastAsia="zh-CN"/>
        </w:rPr>
      </w:pPr>
      <w:r>
        <w:rPr>
          <w:rFonts w:hint="default" w:ascii="Times New Roman" w:hAnsi="Times New Roman" w:cs="Times New Roman" w:eastAsiaTheme="minorEastAsia"/>
          <w:lang w:val="en-US" w:eastAsia="zh-CN"/>
        </w:rPr>
        <w:t>图</w:t>
      </w:r>
      <w:r>
        <w:rPr>
          <w:rFonts w:hint="eastAsia" w:ascii="Times New Roman" w:hAnsi="Times New Roman" w:cs="Times New Roman" w:eastAsiaTheme="minorEastAsia"/>
          <w:lang w:val="en-US" w:eastAsia="zh-CN"/>
        </w:rPr>
        <w:t>5-5-4</w:t>
      </w:r>
      <w:r>
        <w:rPr>
          <w:rFonts w:hint="default" w:ascii="Times New Roman" w:hAnsi="Times New Roman" w:cs="Times New Roman" w:eastAsiaTheme="minorEastAsia"/>
          <w:lang w:val="en-US" w:eastAsia="zh-CN"/>
        </w:rPr>
        <w:t>生产废水排放点W2</w:t>
      </w: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3"/>
        <w:rPr>
          <w:rFonts w:hint="default" w:ascii="Times New Roman" w:hAnsi="Times New Roman" w:cs="Times New Roman"/>
          <w:b/>
          <w:sz w:val="24"/>
        </w:rPr>
      </w:pPr>
      <w:r>
        <w:rPr>
          <w:rFonts w:hint="default" w:ascii="Times New Roman" w:hAnsi="Times New Roman" w:cs="Times New Roman" w:eastAsiaTheme="minorEastAsia"/>
          <w:lang w:val="en-US" w:eastAsia="zh-CN"/>
        </w:rPr>
        <w:drawing>
          <wp:inline distT="0" distB="0" distL="114300" distR="114300">
            <wp:extent cx="5176520" cy="3182620"/>
            <wp:effectExtent l="0" t="0" r="5080" b="17780"/>
            <wp:docPr id="33" name="图片 33" descr="屏幕截图 2022-03-25 16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屏幕截图 2022-03-25 160627"/>
                    <pic:cNvPicPr>
                      <a:picLocks noChangeAspect="1"/>
                    </pic:cNvPicPr>
                  </pic:nvPicPr>
                  <pic:blipFill>
                    <a:blip r:embed="rId18"/>
                    <a:stretch>
                      <a:fillRect/>
                    </a:stretch>
                  </pic:blipFill>
                  <pic:spPr>
                    <a:xfrm>
                      <a:off x="0" y="0"/>
                      <a:ext cx="5176520" cy="31826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3"/>
        <w:rPr>
          <w:rFonts w:hint="default" w:ascii="Times New Roman" w:hAnsi="Times New Roman" w:cs="Times New Roman"/>
          <w:b/>
          <w:sz w:val="24"/>
        </w:r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3"/>
        <w:rPr>
          <w:rFonts w:hint="default" w:ascii="Times New Roman" w:hAnsi="Times New Roman" w:cs="Times New Roman"/>
          <w:b/>
          <w:sz w:val="24"/>
        </w:r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3"/>
        <w:rPr>
          <w:rFonts w:hint="default" w:ascii="Times New Roman" w:hAnsi="Times New Roman" w:cs="Times New Roman"/>
          <w:b/>
          <w:sz w:val="24"/>
        </w:r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3"/>
        <w:rPr>
          <w:rFonts w:hint="default" w:ascii="Times New Roman" w:hAnsi="Times New Roman" w:cs="Times New Roman"/>
          <w:b/>
          <w:sz w:val="24"/>
        </w:rPr>
      </w:pP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outlineLvl w:val="3"/>
        <w:rPr>
          <w:rFonts w:hint="eastAsia" w:ascii="Times New Roman" w:hAnsi="Times New Roman" w:eastAsia="宋体" w:cs="Times New Roman"/>
          <w:b/>
          <w:sz w:val="24"/>
          <w:lang w:eastAsia="zh-CN"/>
        </w:rPr>
      </w:pPr>
      <w:r>
        <w:rPr>
          <w:rFonts w:hint="default" w:ascii="Times New Roman" w:hAnsi="Times New Roman" w:cs="Times New Roman"/>
          <w:b/>
          <w:sz w:val="24"/>
        </w:rPr>
        <w:t>3.</w:t>
      </w:r>
      <w:r>
        <w:rPr>
          <w:rFonts w:hint="eastAsia" w:ascii="Times New Roman" w:hAnsi="Times New Roman" w:cs="Times New Roman"/>
          <w:b/>
          <w:sz w:val="24"/>
          <w:lang w:val="en-US" w:eastAsia="zh-CN"/>
        </w:rPr>
        <w:t>1</w:t>
      </w:r>
      <w:r>
        <w:rPr>
          <w:rFonts w:hint="default" w:ascii="Times New Roman" w:hAnsi="Times New Roman" w:cs="Times New Roman"/>
          <w:b/>
          <w:sz w:val="24"/>
        </w:rPr>
        <w:t>.</w:t>
      </w:r>
      <w:r>
        <w:rPr>
          <w:rFonts w:hint="default" w:ascii="Times New Roman" w:hAnsi="Times New Roman" w:cs="Times New Roman"/>
          <w:b/>
          <w:sz w:val="24"/>
          <w:lang w:val="en-US" w:eastAsia="zh-CN"/>
        </w:rPr>
        <w:t>2</w:t>
      </w:r>
      <w:r>
        <w:rPr>
          <w:rFonts w:hint="default" w:ascii="Times New Roman" w:hAnsi="Times New Roman" w:cs="Times New Roman"/>
          <w:b/>
          <w:sz w:val="24"/>
        </w:rPr>
        <w:t>.2</w:t>
      </w:r>
      <w:r>
        <w:rPr>
          <w:rFonts w:hint="eastAsia" w:ascii="Times New Roman" w:hAnsi="Times New Roman" w:cs="Times New Roman"/>
          <w:b/>
          <w:sz w:val="24"/>
          <w:lang w:eastAsia="zh-CN"/>
        </w:rPr>
        <w:t>炼油二部</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eastAsia" w:ascii="Times New Roman" w:hAnsi="Times New Roman" w:cs="Times New Roman" w:eastAsiaTheme="minorEastAsia"/>
          <w:lang w:eastAsia="zh-CN"/>
        </w:rPr>
        <w:t>炼油二部</w:t>
      </w:r>
      <w:r>
        <w:rPr>
          <w:rFonts w:hint="default" w:ascii="Times New Roman" w:hAnsi="Times New Roman" w:cs="Times New Roman" w:eastAsiaTheme="minorEastAsia"/>
        </w:rPr>
        <w:t>主要包括60万吨/年连续重整装置，10万吨/年苯抽提装置，140万吨/年柴油加氢降凝装置，120万吨/年汽油加氢装置，90万吨/年柴油加氢改质装置，30000标立方米/小时氢气提纯装置，30万吨/年煤油加氢精制装置，30万吨/年轻汽油醚化装置。</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1、连续重整装置</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lang w:val="zh-CN"/>
        </w:rPr>
        <w:t>本装置的加工原料为来自常压蒸馏装置生产的</w:t>
      </w:r>
      <w:r>
        <w:rPr>
          <w:rFonts w:hint="default" w:ascii="Times New Roman" w:hAnsi="Times New Roman" w:cs="Times New Roman" w:eastAsiaTheme="minorEastAsia"/>
        </w:rPr>
        <w:t>直馏石脑油、柴油加氢改质装置生产的改质石脑油、柴油加氢精制装置生产的精制石脑油，主要生产轻石脑油、脱戊烷油，同时副产H2、液化气、干气等。其中轻石脑油出装置作为高辛烷值汽油调合组分；脱戊烷油送至苯抽提装置；H2去PSA提纯装置提纯后作为全厂加氢装置的氢源；液化气做调和商品出售；干气则送入燃料气管网作燃料。</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装置主要由原料预处理、重整反应、氢气再接触、催化剂再生和公用工程五个部分组成。装置</w:t>
      </w:r>
      <w:r>
        <w:rPr>
          <w:rFonts w:hint="default" w:ascii="Times New Roman" w:hAnsi="Times New Roman" w:cs="Times New Roman" w:eastAsiaTheme="minorEastAsia"/>
          <w:lang w:val="zh-CN"/>
        </w:rPr>
        <w:t>建设规模60万吨/年（其中</w:t>
      </w:r>
      <w:r>
        <w:rPr>
          <w:rFonts w:hint="default" w:ascii="Times New Roman" w:hAnsi="Times New Roman" w:cs="Times New Roman" w:eastAsiaTheme="minorEastAsia"/>
        </w:rPr>
        <w:t>原料预处理部分60×104t/a、重整反应部分60×104t/a、催化剂再生部分680kg/h），年开工时间8400 小时。</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（1）主要工艺技术特点</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①原料预处理部分采用先分馏后加氢工艺技术；</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②连续重整部分采用美国UOP 第三代连续重整工艺（Cyclemax）；</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③重整反应器采用四台叠置式，物流上进上出（中心管），降低了重整临氢系统压降；对流室发生3.5MPa蒸汽，供装置内压缩机透平使用，全炉热效率可达90%以上。</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④催化剂再生部分采用UOP最新的第三代再生工艺（CycleMax）；⑤重整循环氢和重整产氢分别由不同的压缩机增压配置方案。</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（2）工艺流程</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①原料预处理部分原料预处理的目的是将混合石脑油进行加氢处理，脱除杂质。由装置外来的混合石脑油经泵升压并换热后进入预分馏塔。塔顶分出轻石脑油，塔底物料进入加氢精制反应器，脱出硫、氮等杂质。加氢反应产物与进料换热并经冷却后进行气液分离，分离罐顶气体经预加氢循环压缩机压缩后循环使用，氢气循环回预加氢压缩机入口，来自氢气再接触部分的增压氢作为补充氢，分离罐底液体与汽提塔底物料换热后，进入重整装置。</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②重整反应部分精制石脑油与循环氢混合后进入重整进料换热器，换热后再经加热炉加热进入第一重整反应器上部，在反应器内与自上而下流动的催化剂径向接触，进行反应，然后经中心管由第一重整反应器上部进入第二重整加热炉，再依次进入第二重整反应器、第三重整加热炉、第三重整反应器、第四重整加热炉，直至由第四重整反应器上部出来。重整是吸热反应，四台反应器均配有加热炉，在催化剂作用下，石脑油中的环烷烃脱氢环化成芳烃，同时还发生异构化、加氢裂化等反应。反应产物经换热、空冷后进入反应产物分离罐，罐顶气体进入重整循环氢压缩机升压，一部分氢气作为重整循环氢与反应进料混合，其余作为重整产氢送至氢气再接触部分。重整生成油与氢气再接触后进入重整汽油脱氯罐，脱氯后送至稳定塔。</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经再接触后的重整生成油与脱戊烷塔底产物换热后进入脱戊烷塔。塔顶物经冷凝，冷却后进入塔顶回流罐。罐顶气体返回再接触系统回收其中夹带的液体，塔顶液体一部分作为回流，另一部分进入C4/C5分离塔，塔底脱戊烷油去苯抽提装置，进行C6分离和苯抽提。</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重整产氢经重整氢增压机增压后与重整生成油混合，并经氨冷冻系统进一步冷却后进行油气分离，使氢气纯度提高，重整生成油收率增加，提纯后的重整氢气，一小部分送至催化剂再生部分作为还原氢，剩余部分重整氢气进行脱氯处理，脱氯后的重整氢纯度可达91%，送出装置。</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szCs w:val="21"/>
        </w:rPr>
        <w:t>③</w:t>
      </w:r>
      <w:r>
        <w:rPr>
          <w:rFonts w:hint="default" w:ascii="Times New Roman" w:hAnsi="Times New Roman" w:cs="Times New Roman" w:eastAsiaTheme="minorEastAsia"/>
        </w:rPr>
        <w:t>催化剂再生部分</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主要包括催化剂再生、放空气碱洗、催化剂粉尘回收等工序。</w:t>
      </w:r>
    </w:p>
    <w:p>
      <w:pPr>
        <w:pStyle w:val="39"/>
        <w:keepNext w:val="0"/>
        <w:keepLines w:val="0"/>
        <w:pageBreakBefore w:val="0"/>
        <w:kinsoku/>
        <w:wordWrap/>
        <w:overflowPunct/>
        <w:topLinePunct w:val="0"/>
        <w:autoSpaceDE/>
        <w:autoSpaceDN/>
        <w:bidi w:val="0"/>
        <w:spacing w:line="560" w:lineRule="exact"/>
        <w:ind w:firstLine="482"/>
        <w:jc w:val="left"/>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催化剂再生：</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来自重整反应部分的待生催化剂，在第四反应器底部的催化剂收集器内，先经氢气（由重整循环氢压缩机出口来）置换出所携带的烃类，然后进入 “L”阀组件，用提升气风机送来的氮气作为一、二次提升气提升至再生器上部的分离料斗，在此用淘析气吹去催化剂上的粉尘后，进入再生器。</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待生催化剂在再生器中自上而下经烧焦、再加热、氯化、干燥后出再生器，经过氮封罐用氮气置换后进入氢气环境的闭锁料斗，由逻辑控制系统通过压力平衡进行闭锁料斗的待命、加压、卸料、减压和装料五个步骤，以控制催化剂的循环量。</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催化剂流出闭锁料斗后，又经过一个“L”阀组件，由重整增压氢提供的一、二次提升气提升至第一反应器顶部的还原区，再接触后的重整氢经换热和加热后作为还原氢，将催化剂由氧化态还原。至此催化剂完成了一个循环过程。恢复活性的再生重整催化剂又循环回重整反应器，进行重整反应。</w:t>
      </w:r>
    </w:p>
    <w:p>
      <w:pPr>
        <w:pStyle w:val="39"/>
        <w:keepNext w:val="0"/>
        <w:keepLines w:val="0"/>
        <w:pageBreakBefore w:val="0"/>
        <w:kinsoku/>
        <w:wordWrap/>
        <w:overflowPunct/>
        <w:topLinePunct w:val="0"/>
        <w:autoSpaceDE/>
        <w:autoSpaceDN/>
        <w:bidi w:val="0"/>
        <w:spacing w:line="560" w:lineRule="exact"/>
        <w:ind w:firstLine="482"/>
        <w:jc w:val="left"/>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再生放空气碱洗：</w:t>
      </w:r>
      <w:r>
        <w:rPr>
          <w:rFonts w:hint="default" w:ascii="Times New Roman" w:hAnsi="Times New Roman" w:cs="Times New Roman" w:eastAsiaTheme="minorEastAsia"/>
          <w:b/>
        </w:rPr>
        <w:tab/>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再生烧焦后的放空气含有氯化物，这部分含氯气体在碱洗塔中与碱充分接触，生成易溶于水的盐类，经水洗脱除氯化物后放空，废碱液排出装置统一处理。</w:t>
      </w:r>
    </w:p>
    <w:p>
      <w:pPr>
        <w:pStyle w:val="39"/>
        <w:keepNext w:val="0"/>
        <w:keepLines w:val="0"/>
        <w:pageBreakBefore w:val="0"/>
        <w:kinsoku/>
        <w:wordWrap/>
        <w:overflowPunct/>
        <w:topLinePunct w:val="0"/>
        <w:autoSpaceDE/>
        <w:autoSpaceDN/>
        <w:bidi w:val="0"/>
        <w:spacing w:line="560" w:lineRule="exact"/>
        <w:ind w:firstLine="482"/>
        <w:jc w:val="left"/>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催化剂粉尘回收：</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含有催化剂粉尘的淘析气进入粉尘收集器，通过滤网回收催化剂粉尘，再定期将粉尘装桶后送往催化剂厂回收贵金属。除去粉尘的淘析气经除尘风机升压后又循环至分离料斗，至此完成催化剂粉尘回收的循环。</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（3）装置操作条件</w:t>
      </w:r>
    </w:p>
    <w:p>
      <w:pPr>
        <w:pStyle w:val="39"/>
        <w:keepNext w:val="0"/>
        <w:keepLines w:val="0"/>
        <w:pageBreakBefore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装置主要操作条件见表</w:t>
      </w:r>
      <w:r>
        <w:rPr>
          <w:rFonts w:hint="default" w:ascii="Times New Roman" w:hAnsi="Times New Roman" w:cs="Times New Roman" w:eastAsiaTheme="minorEastAsia"/>
          <w:lang w:val="en-US" w:eastAsia="zh-CN"/>
        </w:rPr>
        <w:t>3.</w:t>
      </w:r>
      <w:r>
        <w:rPr>
          <w:rFonts w:hint="eastAsia" w:ascii="Times New Roman" w:hAnsi="Times New Roman" w:cs="Times New Roman" w:eastAsiaTheme="minorEastAsia"/>
          <w:lang w:val="en-US" w:eastAsia="zh-CN"/>
        </w:rPr>
        <w:t>1.2</w:t>
      </w:r>
      <w:r>
        <w:rPr>
          <w:rFonts w:hint="default" w:ascii="Times New Roman" w:hAnsi="Times New Roman" w:cs="Times New Roman" w:eastAsiaTheme="minorEastAsia"/>
          <w:lang w:val="en-US" w:eastAsia="zh-CN"/>
        </w:rPr>
        <w:t>-11</w:t>
      </w:r>
      <w:r>
        <w:rPr>
          <w:rFonts w:hint="default" w:ascii="Times New Roman" w:hAnsi="Times New Roman" w:cs="Times New Roman" w:eastAsiaTheme="minorEastAsia"/>
        </w:rPr>
        <w:t>～</w:t>
      </w:r>
      <w:r>
        <w:rPr>
          <w:rFonts w:hint="default" w:ascii="Times New Roman" w:hAnsi="Times New Roman" w:cs="Times New Roman" w:eastAsiaTheme="minorEastAsia"/>
          <w:lang w:val="en-US" w:eastAsia="zh-CN"/>
        </w:rPr>
        <w:t>3.</w:t>
      </w:r>
      <w:r>
        <w:rPr>
          <w:rFonts w:hint="eastAsia" w:ascii="Times New Roman" w:hAnsi="Times New Roman" w:cs="Times New Roman" w:eastAsiaTheme="minorEastAsia"/>
          <w:lang w:val="en-US" w:eastAsia="zh-CN"/>
        </w:rPr>
        <w:t>1.2</w:t>
      </w:r>
      <w:r>
        <w:rPr>
          <w:rFonts w:hint="default" w:ascii="Times New Roman" w:hAnsi="Times New Roman" w:cs="Times New Roman" w:eastAsiaTheme="minorEastAsia"/>
          <w:lang w:val="en-US" w:eastAsia="zh-CN"/>
        </w:rPr>
        <w:t>-13</w:t>
      </w:r>
      <w:r>
        <w:rPr>
          <w:rFonts w:hint="default" w:ascii="Times New Roman" w:hAnsi="Times New Roman" w:cs="Times New Roman" w:eastAsiaTheme="minorEastAsia"/>
        </w:rPr>
        <w:t>。</w:t>
      </w:r>
    </w:p>
    <w:p>
      <w:pPr>
        <w:keepNext w:val="0"/>
        <w:keepLines w:val="0"/>
        <w:pageBreakBefore w:val="0"/>
        <w:kinsoku/>
        <w:wordWrap/>
        <w:overflowPunct/>
        <w:topLinePunct w:val="0"/>
        <w:autoSpaceDE/>
        <w:autoSpaceDN/>
        <w:bidi w:val="0"/>
        <w:spacing w:beforeLines="30" w:afterLines="30" w:line="560" w:lineRule="exact"/>
        <w:jc w:val="center"/>
        <w:textAlignment w:val="auto"/>
        <w:rPr>
          <w:rFonts w:hint="default" w:ascii="Times New Roman" w:hAnsi="Times New Roman" w:cs="Times New Roman"/>
          <w:b/>
          <w:sz w:val="24"/>
          <w:szCs w:val="20"/>
          <w:lang w:val="zh-CN"/>
        </w:rPr>
      </w:pPr>
      <w:r>
        <w:rPr>
          <w:rFonts w:hint="default" w:ascii="Times New Roman" w:hAnsi="Times New Roman" w:cs="Times New Roman"/>
          <w:b/>
          <w:sz w:val="24"/>
          <w:szCs w:val="20"/>
          <w:lang w:val="zh-CN"/>
        </w:rPr>
        <w:t>表</w:t>
      </w:r>
      <w:r>
        <w:rPr>
          <w:rFonts w:hint="default" w:ascii="Times New Roman" w:hAnsi="Times New Roman" w:cs="Times New Roman"/>
          <w:b/>
          <w:sz w:val="24"/>
          <w:szCs w:val="20"/>
          <w:lang w:val="en-US" w:eastAsia="zh-CN"/>
        </w:rPr>
        <w:t>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 xml:space="preserve">-11   </w:t>
      </w:r>
      <w:r>
        <w:rPr>
          <w:rFonts w:hint="default" w:ascii="Times New Roman" w:hAnsi="Times New Roman" w:cs="Times New Roman"/>
          <w:b/>
          <w:sz w:val="24"/>
          <w:szCs w:val="20"/>
          <w:lang w:val="zh-CN"/>
        </w:rPr>
        <w:t>预处理部分主要操作条件表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781"/>
        <w:gridCol w:w="3359"/>
        <w:gridCol w:w="1807"/>
        <w:gridCol w:w="1519"/>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3036" w:type="pct"/>
            <w:gridSpan w:val="2"/>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数值</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restart"/>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预加氢反应部分</w:t>
            </w: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反应产物分离罐压力， MPa</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催化剂装填量</w:t>
            </w:r>
          </w:p>
        </w:tc>
        <w:tc>
          <w:tcPr>
            <w:tcW w:w="1067" w:type="pct"/>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体积，m</w:t>
            </w:r>
            <w:r>
              <w:rPr>
                <w:rFonts w:hint="default" w:ascii="Times New Roman" w:hAnsi="Times New Roman" w:eastAsia="宋体" w:cs="Times New Roman"/>
                <w:sz w:val="21"/>
                <w:szCs w:val="21"/>
                <w:vertAlign w:val="superscript"/>
              </w:rPr>
              <w:t>3</w:t>
            </w:r>
          </w:p>
        </w:tc>
        <w:tc>
          <w:tcPr>
            <w:tcW w:w="897" w:type="pct"/>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重量，t</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RS-1</w:t>
            </w:r>
          </w:p>
        </w:tc>
        <w:tc>
          <w:tcPr>
            <w:tcW w:w="1067"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17.9</w:t>
            </w:r>
          </w:p>
        </w:tc>
        <w:tc>
          <w:tcPr>
            <w:tcW w:w="897"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14.32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体积空速，h-1</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反应器温度，℃</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280~320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氢油比，Nm</w:t>
            </w:r>
            <w:r>
              <w:rPr>
                <w:rFonts w:hint="default" w:ascii="Times New Roman" w:hAnsi="Times New Roman" w:eastAsia="宋体" w:cs="Times New Roman"/>
                <w:kern w:val="0"/>
                <w:sz w:val="21"/>
                <w:szCs w:val="21"/>
                <w:vertAlign w:val="superscript"/>
              </w:rPr>
              <w:t>3</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vertAlign w:val="superscript"/>
              </w:rPr>
              <w:t>3</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restart"/>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汽提塔</w:t>
            </w: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塔顶压力，MPa</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104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223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回流比（对进料）</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0.25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restart"/>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石脑油分馏塔</w:t>
            </w: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塔顶压力，MPa</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105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179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052" w:type="pct"/>
            <w:vMerge w:val="continue"/>
            <w:tcBorders>
              <w:tl2br w:val="nil"/>
              <w:tr2bl w:val="nil"/>
            </w:tcBorders>
            <w:shd w:val="clear" w:color="auto" w:fill="auto"/>
            <w:vAlign w:val="center"/>
          </w:tcPr>
          <w:p>
            <w:pPr>
              <w:keepNext w:val="0"/>
              <w:keepLines w:val="0"/>
              <w:pageBreakBefore w:val="0"/>
              <w:widowControl w:val="0"/>
              <w:kinsoku/>
              <w:wordWrap/>
              <w:overflowPunct/>
              <w:topLinePunct w:val="0"/>
              <w:bidi w:val="0"/>
              <w:snapToGrid/>
              <w:jc w:val="center"/>
              <w:textAlignment w:val="auto"/>
              <w:rPr>
                <w:rFonts w:hint="default" w:ascii="Times New Roman" w:hAnsi="Times New Roman" w:eastAsia="宋体" w:cs="Times New Roman"/>
                <w:sz w:val="21"/>
                <w:szCs w:val="21"/>
              </w:rPr>
            </w:pPr>
          </w:p>
        </w:tc>
        <w:tc>
          <w:tcPr>
            <w:tcW w:w="1984" w:type="pct"/>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回流比</w:t>
            </w:r>
          </w:p>
        </w:tc>
        <w:tc>
          <w:tcPr>
            <w:tcW w:w="1964" w:type="pct"/>
            <w:gridSpan w:val="2"/>
            <w:tcBorders>
              <w:tl2br w:val="nil"/>
              <w:tr2bl w:val="nil"/>
            </w:tcBorders>
            <w:shd w:val="clear" w:color="auto" w:fill="auto"/>
            <w:vAlign w:val="center"/>
          </w:tcPr>
          <w:p>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2.75</w:t>
            </w:r>
          </w:p>
        </w:tc>
      </w:tr>
    </w:tbl>
    <w:p>
      <w:pPr>
        <w:spacing w:beforeLines="30" w:afterLines="30"/>
        <w:jc w:val="center"/>
        <w:rPr>
          <w:rFonts w:hint="default" w:ascii="Times New Roman" w:hAnsi="Times New Roman" w:cs="Times New Roman"/>
          <w:b/>
          <w:sz w:val="24"/>
          <w:szCs w:val="20"/>
          <w:lang w:val="zh-CN"/>
        </w:rPr>
      </w:pPr>
      <w:r>
        <w:rPr>
          <w:rFonts w:hint="default" w:ascii="Times New Roman" w:hAnsi="Times New Roman" w:cs="Times New Roman"/>
          <w:b/>
          <w:sz w:val="24"/>
          <w:szCs w:val="20"/>
          <w:lang w:val="zh-CN"/>
        </w:rPr>
        <w:t>表</w:t>
      </w:r>
      <w:r>
        <w:rPr>
          <w:rFonts w:hint="eastAsia" w:ascii="Times New Roman" w:hAnsi="Times New Roman" w:cs="Times New Roman"/>
          <w:b/>
          <w:sz w:val="24"/>
          <w:szCs w:val="20"/>
          <w:lang w:val="en-US" w:eastAsia="zh-CN"/>
        </w:rPr>
        <w:t xml:space="preserve">3.1.2-12   </w:t>
      </w:r>
      <w:r>
        <w:rPr>
          <w:rFonts w:hint="default" w:ascii="Times New Roman" w:hAnsi="Times New Roman" w:cs="Times New Roman"/>
          <w:b/>
          <w:sz w:val="24"/>
          <w:szCs w:val="20"/>
          <w:lang w:val="zh-CN"/>
        </w:rPr>
        <w:t>重整反应操作条件表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605"/>
        <w:gridCol w:w="3009"/>
        <w:gridCol w:w="963"/>
        <w:gridCol w:w="963"/>
        <w:gridCol w:w="963"/>
        <w:gridCol w:w="963"/>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783" w:type="pct"/>
            <w:gridSpan w:val="2"/>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2217" w:type="pct"/>
            <w:gridSpan w:val="4"/>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数值</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重整反应部分</w:t>
            </w:r>
          </w:p>
        </w:tc>
        <w:tc>
          <w:tcPr>
            <w:tcW w:w="1806" w:type="pct"/>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一反</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二反</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三反</w:t>
            </w:r>
          </w:p>
        </w:tc>
        <w:tc>
          <w:tcPr>
            <w:tcW w:w="555"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四反</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催化剂型号</w:t>
            </w:r>
          </w:p>
        </w:tc>
        <w:tc>
          <w:tcPr>
            <w:tcW w:w="2217" w:type="pct"/>
            <w:gridSpan w:val="4"/>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R-234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反应温度（入口/出口），℃</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549/442</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549/475</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549/494</w:t>
            </w:r>
          </w:p>
        </w:tc>
        <w:tc>
          <w:tcPr>
            <w:tcW w:w="555"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549/512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反应压力，MPa</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0.50</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0.45</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0.40</w:t>
            </w:r>
          </w:p>
        </w:tc>
        <w:tc>
          <w:tcPr>
            <w:tcW w:w="555"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0.35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反应空速（LHSV），h</w:t>
            </w:r>
            <w:r>
              <w:rPr>
                <w:rFonts w:hint="default" w:ascii="Times New Roman" w:hAnsi="Times New Roman" w:eastAsia="宋体" w:cs="Times New Roman"/>
                <w:kern w:val="0"/>
                <w:sz w:val="21"/>
                <w:szCs w:val="21"/>
                <w:vertAlign w:val="superscript"/>
              </w:rPr>
              <w:t>-1</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1.82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氢油比，（H</w:t>
            </w:r>
            <w:r>
              <w:rPr>
                <w:rFonts w:hint="default" w:ascii="Times New Roman" w:hAnsi="Times New Roman" w:eastAsia="宋体" w:cs="Times New Roman"/>
                <w:kern w:val="0"/>
                <w:sz w:val="21"/>
                <w:szCs w:val="21"/>
                <w:vertAlign w:val="subscript"/>
              </w:rPr>
              <w:t>2</w:t>
            </w:r>
            <w:r>
              <w:rPr>
                <w:rFonts w:hint="default" w:ascii="Times New Roman" w:hAnsi="Times New Roman" w:eastAsia="宋体" w:cs="Times New Roman"/>
                <w:kern w:val="0"/>
                <w:sz w:val="21"/>
                <w:szCs w:val="21"/>
              </w:rPr>
              <w:t>/HC）</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反应产物分离器压力，MPa</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0.24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催化剂装填比，％</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13</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16</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21</w:t>
            </w:r>
          </w:p>
        </w:tc>
        <w:tc>
          <w:tcPr>
            <w:tcW w:w="555"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装填量，t</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3.892</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4.883</w:t>
            </w:r>
          </w:p>
        </w:tc>
        <w:tc>
          <w:tcPr>
            <w:tcW w:w="55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6.373</w:t>
            </w:r>
          </w:p>
        </w:tc>
        <w:tc>
          <w:tcPr>
            <w:tcW w:w="555"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14.890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催化剂循环速率，kg/h</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454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C5+产品辛烷值</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102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C5+产品液收，wt%</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90.6%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纯氢产率，wt%</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3.91%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再接触部分</w:t>
            </w: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1号再接触罐压力，MPa</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1号再接触罐温度，℃</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2号再接触罐压力，MPa</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2.66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2号再接触罐温度，℃</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脱戊烷塔</w:t>
            </w: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塔顶压力，MPa</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0.95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回流比</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6.85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脱C</w:t>
            </w:r>
            <w:r>
              <w:rPr>
                <w:rFonts w:hint="default" w:ascii="Times New Roman" w:hAnsi="Times New Roman" w:eastAsia="宋体" w:cs="Times New Roman"/>
                <w:sz w:val="21"/>
                <w:szCs w:val="21"/>
                <w:vertAlign w:val="subscript"/>
              </w:rPr>
              <w:t>6</w:t>
            </w:r>
            <w:r>
              <w:rPr>
                <w:rFonts w:hint="default" w:ascii="Times New Roman" w:hAnsi="Times New Roman" w:eastAsia="宋体" w:cs="Times New Roman"/>
                <w:sz w:val="21"/>
                <w:szCs w:val="21"/>
              </w:rPr>
              <w:t>塔操</w:t>
            </w:r>
          </w:p>
        </w:tc>
        <w:tc>
          <w:tcPr>
            <w:tcW w:w="1806"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塔顶压力，MPa</w:t>
            </w:r>
          </w:p>
        </w:tc>
        <w:tc>
          <w:tcPr>
            <w:tcW w:w="2217"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2217" w:type="pct"/>
            <w:gridSpan w:val="4"/>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2217" w:type="pct"/>
            <w:gridSpan w:val="4"/>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回流比</w:t>
            </w:r>
          </w:p>
        </w:tc>
        <w:tc>
          <w:tcPr>
            <w:tcW w:w="2217" w:type="pct"/>
            <w:gridSpan w:val="4"/>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w:t>
            </w:r>
            <w:r>
              <w:rPr>
                <w:rFonts w:hint="default" w:ascii="Times New Roman" w:hAnsi="Times New Roman" w:eastAsia="宋体" w:cs="Times New Roman"/>
                <w:sz w:val="21"/>
                <w:szCs w:val="21"/>
                <w:vertAlign w:val="subscript"/>
              </w:rPr>
              <w:t>4</w:t>
            </w:r>
            <w:r>
              <w:rPr>
                <w:rFonts w:hint="default" w:ascii="Times New Roman" w:hAnsi="Times New Roman" w:eastAsia="宋体" w:cs="Times New Roman"/>
                <w:sz w:val="21"/>
                <w:szCs w:val="21"/>
              </w:rPr>
              <w:t>/C</w:t>
            </w:r>
            <w:r>
              <w:rPr>
                <w:rFonts w:hint="default" w:ascii="Times New Roman" w:hAnsi="Times New Roman" w:eastAsia="宋体" w:cs="Times New Roman"/>
                <w:sz w:val="21"/>
                <w:szCs w:val="21"/>
                <w:vertAlign w:val="subscript"/>
              </w:rPr>
              <w:t>5</w:t>
            </w:r>
            <w:r>
              <w:rPr>
                <w:rFonts w:hint="default" w:ascii="Times New Roman" w:hAnsi="Times New Roman" w:eastAsia="宋体" w:cs="Times New Roman"/>
                <w:sz w:val="21"/>
                <w:szCs w:val="21"/>
              </w:rPr>
              <w:t>分离塔</w:t>
            </w:r>
          </w:p>
        </w:tc>
        <w:tc>
          <w:tcPr>
            <w:tcW w:w="1806" w:type="pct"/>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塔顶压力，MPa</w:t>
            </w:r>
          </w:p>
        </w:tc>
        <w:tc>
          <w:tcPr>
            <w:tcW w:w="2217" w:type="pct"/>
            <w:gridSpan w:val="4"/>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2217" w:type="pct"/>
            <w:gridSpan w:val="4"/>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75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2217" w:type="pct"/>
            <w:gridSpan w:val="4"/>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147</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97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806" w:type="pct"/>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回流比</w:t>
            </w:r>
          </w:p>
        </w:tc>
        <w:tc>
          <w:tcPr>
            <w:tcW w:w="2217" w:type="pct"/>
            <w:gridSpan w:val="4"/>
            <w:tcBorders>
              <w:tl2br w:val="nil"/>
              <w:tr2bl w:val="nil"/>
            </w:tcBorders>
            <w:shd w:val="clear" w:color="auto" w:fill="auto"/>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4.82</w:t>
            </w:r>
          </w:p>
        </w:tc>
      </w:tr>
    </w:tbl>
    <w:p>
      <w:pPr>
        <w:spacing w:beforeLines="30" w:afterLines="30"/>
        <w:jc w:val="center"/>
        <w:rPr>
          <w:rFonts w:hint="default" w:ascii="Times New Roman" w:hAnsi="Times New Roman" w:cs="Times New Roman"/>
          <w:b/>
          <w:sz w:val="24"/>
          <w:szCs w:val="20"/>
          <w:lang w:val="zh-CN"/>
        </w:rPr>
      </w:pPr>
      <w:r>
        <w:rPr>
          <w:rFonts w:hint="default" w:ascii="Times New Roman" w:hAnsi="Times New Roman" w:cs="Times New Roman"/>
          <w:b/>
          <w:sz w:val="24"/>
          <w:szCs w:val="20"/>
          <w:lang w:val="zh-CN"/>
        </w:rPr>
        <w:t>表</w:t>
      </w:r>
      <w:r>
        <w:rPr>
          <w:rFonts w:hint="eastAsia" w:ascii="Times New Roman" w:hAnsi="Times New Roman" w:cs="Times New Roman"/>
          <w:b/>
          <w:sz w:val="24"/>
          <w:szCs w:val="20"/>
          <w:lang w:val="en-US" w:eastAsia="zh-CN"/>
        </w:rPr>
        <w:t xml:space="preserve">3.1.2-13 </w:t>
      </w:r>
      <w:r>
        <w:rPr>
          <w:rFonts w:hint="default" w:ascii="Times New Roman" w:hAnsi="Times New Roman" w:cs="Times New Roman"/>
          <w:b/>
          <w:sz w:val="24"/>
          <w:szCs w:val="20"/>
          <w:lang w:val="zh-CN"/>
        </w:rPr>
        <w:t xml:space="preserve">  催化剂再生操作条件表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2821"/>
        <w:gridCol w:w="1412"/>
        <w:gridCol w:w="1409"/>
        <w:gridCol w:w="2824"/>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项目</w:t>
            </w:r>
          </w:p>
        </w:tc>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数值</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烧焦区</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温度，</w:t>
            </w:r>
            <w:r>
              <w:rPr>
                <w:rFonts w:hint="eastAsia" w:cs="宋体" w:asciiTheme="minorEastAsia" w:hAnsiTheme="minorEastAsia"/>
                <w:kern w:val="0"/>
                <w:sz w:val="21"/>
                <w:szCs w:val="21"/>
              </w:rPr>
              <w:t>℃</w:t>
            </w:r>
          </w:p>
        </w:tc>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516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压力，MPa</w:t>
            </w:r>
          </w:p>
        </w:tc>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0.241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闭锁料斗</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温度，</w:t>
            </w:r>
            <w:r>
              <w:rPr>
                <w:rFonts w:hint="eastAsia" w:cs="宋体" w:asciiTheme="minorEastAsia" w:hAnsiTheme="minorEastAsia"/>
                <w:kern w:val="0"/>
                <w:sz w:val="21"/>
                <w:szCs w:val="21"/>
              </w:rPr>
              <w:t>℃</w:t>
            </w:r>
          </w:p>
        </w:tc>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149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压力，MPa</w:t>
            </w:r>
          </w:p>
        </w:tc>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0.241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000" w:type="pct"/>
            <w:gridSpan w:val="4"/>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还原区</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一段</w:t>
            </w:r>
          </w:p>
        </w:tc>
        <w:tc>
          <w:tcPr>
            <w:tcW w:w="1666"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温度，</w:t>
            </w:r>
            <w:r>
              <w:rPr>
                <w:rFonts w:hint="eastAsia" w:cs="宋体" w:asciiTheme="minorEastAsia" w:hAnsiTheme="minorEastAsia"/>
                <w:kern w:val="0"/>
                <w:sz w:val="21"/>
                <w:szCs w:val="21"/>
              </w:rPr>
              <w:t>℃</w:t>
            </w:r>
          </w:p>
        </w:tc>
        <w:tc>
          <w:tcPr>
            <w:tcW w:w="1668" w:type="pct"/>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399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压力，MPa</w:t>
            </w:r>
          </w:p>
        </w:tc>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1.22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二段</w:t>
            </w:r>
          </w:p>
        </w:tc>
        <w:tc>
          <w:tcPr>
            <w:tcW w:w="1666"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温度，</w:t>
            </w:r>
            <w:r>
              <w:rPr>
                <w:rFonts w:hint="eastAsia" w:cs="宋体" w:asciiTheme="minorEastAsia" w:hAnsiTheme="minorEastAsia"/>
                <w:kern w:val="0"/>
                <w:sz w:val="21"/>
                <w:szCs w:val="21"/>
              </w:rPr>
              <w:t>℃</w:t>
            </w:r>
          </w:p>
        </w:tc>
        <w:tc>
          <w:tcPr>
            <w:tcW w:w="1668" w:type="pct"/>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538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压力，MPa</w:t>
            </w:r>
          </w:p>
        </w:tc>
        <w:tc>
          <w:tcPr>
            <w:tcW w:w="2500" w:type="pct"/>
            <w:gridSpan w:val="2"/>
            <w:tcBorders>
              <w:tl2br w:val="nil"/>
              <w:tr2bl w:val="nil"/>
            </w:tcBorders>
            <w:vAlign w:val="center"/>
          </w:tcPr>
          <w:p>
            <w:pPr>
              <w:autoSpaceDE w:val="0"/>
              <w:autoSpaceDN w:val="0"/>
              <w:adjustRightInd w:val="0"/>
              <w:jc w:val="center"/>
              <w:rPr>
                <w:rFonts w:asciiTheme="minorEastAsia" w:hAnsiTheme="minorEastAsia"/>
                <w:kern w:val="0"/>
                <w:sz w:val="21"/>
                <w:szCs w:val="21"/>
              </w:rPr>
            </w:pPr>
            <w:r>
              <w:rPr>
                <w:rFonts w:asciiTheme="minorEastAsia" w:hAnsiTheme="minorEastAsia"/>
                <w:kern w:val="0"/>
                <w:sz w:val="21"/>
                <w:szCs w:val="21"/>
              </w:rPr>
              <w:t>0.61</w:t>
            </w:r>
          </w:p>
        </w:tc>
      </w:tr>
    </w:tbl>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（4）原料、辅助材料和产品</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①原料</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装置原料为常压装置生产的直馏石脑油56.48万吨/年（约占85.4%），直柴加氢精制石脑油6.84万吨/年（约占10.3%）和催柴加氢精制石脑油2.79万吨/年（约占4.3%）</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②辅助材料</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预加氢催化剂采用中石化石油化工科学研究院的FH-40C；重整催化剂采用UOP连续重整催化剂R-234。</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装置所用氢气脱氯剂包括用于脱去含氢气体中氯化氢的低温脱氯剂和用于脱去预加氢反应产物中氯化氢的高温脱氯剂，高温脱氯剂采用国内的JX-5A型脱氯剂，低温脱氯剂采用国内的JX-5B型脱氯剂；C6馏分脱氯剂用于脱除C6馏分中的氯化氢，采用国内的JX-5D型脱氯剂。</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装置使用的硫化剂为二甲基二硫（DMDS），使用的氯化物为全氯乙烯，采用三种惰性瓷球，规格分别为Φ3、Φ6和Φ19，采用多面瓷球，重整氢再接触制冷系统采用丙烷作为制冷剂。</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③产品</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 xml:space="preserve">装置主要产品为高辛烷值汽油组分、C6馏分、含氢气体、液化气及少量含硫燃料气。 </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（5）装置的“三废”污染源排放</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本装置废气主要是来自四合一加热炉G1、催化剂再生烟气G2，主要污染物为SO2、NOX、烟尘及再生烟气中少量的氯化氢。</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本装置废水主要为原料油罐排水、部分机泵冷却水、地面冲洗水等产生的含油污水W1；各塔顶回流罐分出的含硫污水W2；重整催化剂再生烟气碱液洗涤塔排出的含碱废水W3；余热锅炉排污水W4；生活污水等；蒸汽凝结水回收处理不外排。</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本装置固体废物主要是连续重整装置排出的预加氢废催化剂S1；废重整催化剂S2；废重整脱氯剂S3；废瓷球S4；装置开工过程投加的废液S5等。</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工艺流程见图</w:t>
      </w:r>
      <w:r>
        <w:rPr>
          <w:rFonts w:hint="default" w:ascii="Times New Roman" w:hAnsi="Times New Roman" w:cs="Times New Roman"/>
          <w:sz w:val="24"/>
          <w:lang w:val="en-US" w:eastAsia="zh-CN"/>
        </w:rPr>
        <w:t>3.</w:t>
      </w:r>
      <w:r>
        <w:rPr>
          <w:rFonts w:hint="eastAsia" w:ascii="Times New Roman" w:hAnsi="Times New Roman" w:cs="Times New Roman"/>
          <w:sz w:val="24"/>
          <w:lang w:val="en-US" w:eastAsia="zh-CN"/>
        </w:rPr>
        <w:t>1.2</w:t>
      </w:r>
      <w:r>
        <w:rPr>
          <w:rFonts w:hint="default" w:ascii="Times New Roman" w:hAnsi="Times New Roman" w:cs="Times New Roman"/>
          <w:sz w:val="24"/>
          <w:lang w:val="en-US" w:eastAsia="zh-CN"/>
        </w:rPr>
        <w:t>-6</w:t>
      </w:r>
      <w:r>
        <w:rPr>
          <w:rFonts w:hint="default" w:ascii="Times New Roman" w:hAnsi="Times New Roman" w:cs="Times New Roman"/>
          <w:sz w:val="24"/>
        </w:rPr>
        <w:t>、</w:t>
      </w:r>
      <w:r>
        <w:rPr>
          <w:rFonts w:hint="default" w:ascii="Times New Roman" w:hAnsi="Times New Roman" w:cs="Times New Roman"/>
          <w:sz w:val="24"/>
          <w:lang w:val="en-US" w:eastAsia="zh-CN"/>
        </w:rPr>
        <w:t>3</w:t>
      </w:r>
      <w:r>
        <w:rPr>
          <w:rFonts w:hint="eastAsia" w:ascii="Times New Roman" w:hAnsi="Times New Roman" w:cs="Times New Roman"/>
          <w:sz w:val="24"/>
          <w:lang w:val="en-US" w:eastAsia="zh-CN"/>
        </w:rPr>
        <w:t>.1.2</w:t>
      </w:r>
      <w:r>
        <w:rPr>
          <w:rFonts w:hint="default" w:ascii="Times New Roman" w:hAnsi="Times New Roman" w:cs="Times New Roman"/>
          <w:sz w:val="24"/>
          <w:lang w:val="en-US" w:eastAsia="zh-CN"/>
        </w:rPr>
        <w:t>-7</w:t>
      </w:r>
      <w:r>
        <w:rPr>
          <w:rFonts w:hint="default" w:ascii="Times New Roman" w:hAnsi="Times New Roman" w:cs="Times New Roman"/>
          <w:sz w:val="24"/>
        </w:rPr>
        <w:t>。</w:t>
      </w:r>
    </w:p>
    <w:p>
      <w:pPr>
        <w:keepNext/>
        <w:spacing w:line="312" w:lineRule="auto"/>
        <w:rPr>
          <w:rFonts w:asciiTheme="minorEastAsia" w:hAnsiTheme="minorEastAsia"/>
          <w:sz w:val="24"/>
          <w:szCs w:val="20"/>
        </w:rPr>
      </w:pPr>
      <w:r>
        <w:rPr>
          <w:rFonts w:asciiTheme="minorEastAsia" w:hAnsiTheme="minorEastAsia"/>
          <w:sz w:val="24"/>
          <w:szCs w:val="20"/>
        </w:rPr>
        <w:drawing>
          <wp:inline distT="0" distB="0" distL="0" distR="0">
            <wp:extent cx="5715000" cy="3105150"/>
            <wp:effectExtent l="0" t="0" r="0" b="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19" cstate="print"/>
                    <a:stretch>
                      <a:fillRect/>
                    </a:stretch>
                  </pic:blipFill>
                  <pic:spPr>
                    <a:xfrm>
                      <a:off x="0" y="0"/>
                      <a:ext cx="5721086" cy="3108457"/>
                    </a:xfrm>
                    <a:prstGeom prst="rect">
                      <a:avLst/>
                    </a:prstGeom>
                  </pic:spPr>
                </pic:pic>
              </a:graphicData>
            </a:graphic>
          </wp:inline>
        </w:drawing>
      </w:r>
    </w:p>
    <w:p>
      <w:pPr>
        <w:spacing w:beforeLines="30" w:afterLines="30"/>
        <w:jc w:val="center"/>
        <w:rPr>
          <w:rFonts w:hint="default" w:ascii="Times New Roman" w:hAnsi="Times New Roman" w:cs="Times New Roman"/>
          <w:b/>
          <w:sz w:val="24"/>
          <w:szCs w:val="20"/>
        </w:rPr>
      </w:pPr>
      <w:r>
        <w:rPr>
          <w:rFonts w:hint="default" w:ascii="Times New Roman" w:hAnsi="Times New Roman" w:cs="Times New Roman"/>
          <w:b/>
          <w:sz w:val="24"/>
          <w:szCs w:val="20"/>
        </w:rPr>
        <w:t>图</w:t>
      </w:r>
      <w:r>
        <w:rPr>
          <w:rFonts w:hint="default" w:ascii="Times New Roman" w:hAnsi="Times New Roman" w:cs="Times New Roman"/>
          <w:b/>
          <w:sz w:val="24"/>
          <w:szCs w:val="20"/>
          <w:lang w:val="en-US" w:eastAsia="zh-CN"/>
        </w:rPr>
        <w:t>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 xml:space="preserve">-6   </w:t>
      </w:r>
      <w:r>
        <w:rPr>
          <w:rFonts w:hint="default" w:ascii="Times New Roman" w:hAnsi="Times New Roman" w:cs="Times New Roman"/>
          <w:b/>
          <w:sz w:val="24"/>
          <w:szCs w:val="20"/>
        </w:rPr>
        <w:t>连续重整装置工艺流程图</w:t>
      </w:r>
    </w:p>
    <w:p>
      <w:pPr>
        <w:keepNext/>
        <w:spacing w:line="312" w:lineRule="auto"/>
        <w:rPr>
          <w:rFonts w:asciiTheme="minorEastAsia" w:hAnsiTheme="minorEastAsia"/>
          <w:sz w:val="24"/>
          <w:szCs w:val="20"/>
        </w:rPr>
      </w:pPr>
      <w:r>
        <w:rPr>
          <w:rFonts w:asciiTheme="minorEastAsia" w:hAnsiTheme="minorEastAsia"/>
          <w:sz w:val="24"/>
          <w:szCs w:val="20"/>
        </w:rPr>
        <w:drawing>
          <wp:inline distT="0" distB="0" distL="0" distR="0">
            <wp:extent cx="5676900" cy="3705225"/>
            <wp:effectExtent l="0" t="0" r="0" b="9525"/>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20" cstate="print"/>
                    <a:stretch>
                      <a:fillRect/>
                    </a:stretch>
                  </pic:blipFill>
                  <pic:spPr>
                    <a:xfrm>
                      <a:off x="0" y="0"/>
                      <a:ext cx="5682353" cy="3708784"/>
                    </a:xfrm>
                    <a:prstGeom prst="rect">
                      <a:avLst/>
                    </a:prstGeom>
                  </pic:spPr>
                </pic:pic>
              </a:graphicData>
            </a:graphic>
          </wp:inline>
        </w:drawing>
      </w:r>
    </w:p>
    <w:p>
      <w:pPr>
        <w:spacing w:beforeLines="30" w:afterLines="30"/>
        <w:jc w:val="center"/>
        <w:rPr>
          <w:rFonts w:hint="default" w:ascii="Times New Roman" w:hAnsi="Times New Roman" w:cs="Times New Roman"/>
          <w:b/>
          <w:sz w:val="24"/>
          <w:szCs w:val="24"/>
        </w:rPr>
      </w:pPr>
      <w:r>
        <w:rPr>
          <w:rFonts w:hint="default" w:ascii="Times New Roman" w:hAnsi="Times New Roman" w:cs="Times New Roman"/>
          <w:b/>
          <w:sz w:val="24"/>
          <w:szCs w:val="24"/>
        </w:rPr>
        <w:t>图</w:t>
      </w:r>
      <w:r>
        <w:rPr>
          <w:rFonts w:hint="default" w:ascii="Times New Roman" w:hAnsi="Times New Roman" w:cs="Times New Roman"/>
          <w:b/>
          <w:sz w:val="24"/>
          <w:szCs w:val="24"/>
          <w:lang w:val="en-US" w:eastAsia="zh-CN"/>
        </w:rPr>
        <w:t>3.</w:t>
      </w:r>
      <w:r>
        <w:rPr>
          <w:rFonts w:hint="eastAsia" w:ascii="Times New Roman" w:hAnsi="Times New Roman" w:cs="Times New Roman"/>
          <w:b/>
          <w:sz w:val="24"/>
          <w:szCs w:val="24"/>
          <w:lang w:val="en-US" w:eastAsia="zh-CN"/>
        </w:rPr>
        <w:t>1.2</w:t>
      </w:r>
      <w:r>
        <w:rPr>
          <w:rFonts w:hint="default" w:ascii="Times New Roman" w:hAnsi="Times New Roman" w:cs="Times New Roman"/>
          <w:b/>
          <w:sz w:val="24"/>
          <w:szCs w:val="24"/>
          <w:lang w:val="en-US" w:eastAsia="zh-CN"/>
        </w:rPr>
        <w:t xml:space="preserve">-7   </w:t>
      </w:r>
      <w:r>
        <w:rPr>
          <w:rFonts w:hint="default" w:ascii="Times New Roman" w:hAnsi="Times New Roman" w:cs="Times New Roman"/>
          <w:b/>
          <w:sz w:val="24"/>
          <w:szCs w:val="24"/>
        </w:rPr>
        <w:t>连续重整装置工艺流程图</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2、苯抽提装置</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本装置的加工原料为来自连续重整装置生产的重整汽油（脱戊烷油），主要生产苯、溶剂油和抽余汽油。其中苯（可满足GB3405-89中的优级品标准）和溶剂油主要作为产品外销，抽余汽油主要作为汽油调和组分。</w:t>
      </w:r>
    </w:p>
    <w:p>
      <w:pPr>
        <w:pStyle w:val="39"/>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eastAsiaTheme="minorEastAsia"/>
          <w:sz w:val="20"/>
        </w:rPr>
      </w:pPr>
      <w:r>
        <w:rPr>
          <w:rFonts w:hint="default" w:ascii="Times New Roman" w:hAnsi="Times New Roman" w:cs="Times New Roman" w:eastAsiaTheme="minorEastAsia"/>
        </w:rPr>
        <w:t>本装置主要由预分馏、抽提、非芳烃水洗、汽提脱轻烃、溶剂回收、水汽提脱非芳烃和溶剂再生等部分组成。装置</w:t>
      </w:r>
      <w:r>
        <w:rPr>
          <w:rFonts w:hint="default" w:ascii="Times New Roman" w:hAnsi="Times New Roman" w:cs="Times New Roman" w:eastAsiaTheme="minorEastAsia"/>
          <w:lang w:val="zh-CN"/>
        </w:rPr>
        <w:t>设计规模10万吨/年（</w:t>
      </w:r>
      <w:r>
        <w:rPr>
          <w:rFonts w:hint="default" w:ascii="Times New Roman" w:hAnsi="Times New Roman" w:cs="Times New Roman" w:eastAsiaTheme="minorEastAsia"/>
        </w:rPr>
        <w:t>以预分馏出的C</w:t>
      </w:r>
      <w:r>
        <w:rPr>
          <w:rFonts w:hint="default" w:ascii="Times New Roman" w:hAnsi="Times New Roman" w:cs="Times New Roman" w:eastAsiaTheme="minorEastAsia"/>
          <w:vertAlign w:val="subscript"/>
        </w:rPr>
        <w:t>6</w:t>
      </w:r>
      <w:r>
        <w:rPr>
          <w:rFonts w:hint="default" w:ascii="Times New Roman" w:hAnsi="Times New Roman" w:cs="Times New Roman" w:eastAsiaTheme="minorEastAsia"/>
        </w:rPr>
        <w:t>馏分计），年开工时间8400小时。</w:t>
      </w:r>
    </w:p>
    <w:p>
      <w:pPr>
        <w:pStyle w:val="39"/>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（1）主要工艺技术特点</w:t>
      </w:r>
    </w:p>
    <w:p>
      <w:pPr>
        <w:pStyle w:val="39"/>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采用SUPER-SAE-Ⅱ液液抽提工艺技术；</w:t>
      </w:r>
    </w:p>
    <w:p>
      <w:pPr>
        <w:pStyle w:val="39"/>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选用环丁环丁砜作抽提溶剂；</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（2）工艺流程</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预分馏：</w:t>
      </w:r>
      <w:r>
        <w:rPr>
          <w:rFonts w:hint="default" w:ascii="Times New Roman" w:hAnsi="Times New Roman" w:cs="Times New Roman"/>
          <w:sz w:val="24"/>
        </w:rPr>
        <w:t>自重整装置来的重整汽油先进入重整汽油缓冲罐，经泵提压后与塔底抽余汽油换热后进入原料预分馏塔。塔顶为抽提蒸馏原料，经回流罐、抽提进料泵、抽提塔进料加热器后进入抽提塔；预分馏塔底的物料为汽油调和组分，与进料换热后再经过水冷器后送出装置。</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环丁环丁砜抽提：</w:t>
      </w:r>
      <w:r>
        <w:rPr>
          <w:rFonts w:hint="default" w:ascii="Times New Roman" w:hAnsi="Times New Roman" w:cs="Times New Roman"/>
          <w:sz w:val="24"/>
        </w:rPr>
        <w:t>自预分馏来的抽提进料经换热到规定的温度后进入抽提塔，回收塔底的贫溶剂泵送来的贫溶剂从抽提塔上部进入抽提塔，溶剂与芳烃组分在塔内逆流接触，经塔板的多段逆流抽提作用，使原料中的芳烃和少量的非芳烃溶解于环丁环丁砜中，形成富溶剂。富溶剂靠自压送往汽提塔，来自汽提塔顶的少量非芳烃和部分芳烃作为回流从抽提塔下部进入抽提塔，使提取液中芳烃纯度得到进一步提高。</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非芳烃水洗：</w:t>
      </w:r>
      <w:r>
        <w:rPr>
          <w:rFonts w:hint="default" w:ascii="Times New Roman" w:hAnsi="Times New Roman" w:cs="Times New Roman"/>
          <w:sz w:val="24"/>
        </w:rPr>
        <w:t>由抽提塔顶部排出的含有少量溶剂的非芳烃物流，进入抽余油水洗塔，用水洗的方法回收非芳烃中的环丁环丁砜。出抽提塔顶的抽余油与来自抽余油水洗塔二段的水混合后进入抽余油冷却器冷却，送入抽余油水洗塔的一段进行油水分离以回收溶剂，含溶剂的水洗水送至水汽提塔进行汽提。自一段的抽余油与自回收塔回流罐的水混合后送入抽余油水洗塔的二段进一步回收溶剂，除掉溶剂后的抽余油送出装置。</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提脱轻烃：</w:t>
      </w:r>
      <w:r>
        <w:rPr>
          <w:rFonts w:hint="default" w:ascii="Times New Roman" w:hAnsi="Times New Roman" w:cs="Times New Roman"/>
          <w:sz w:val="24"/>
        </w:rPr>
        <w:t>由抽提塔底来的富溶剂在贫富溶剂换热器换热后，送往汽提塔，在汽提塔内，非芳烃与一定量的芳烃从汽提塔顶出来。塔顶物与水汽提塔顶物料一起在空冷器内冷凝后流入汽提塔顶回流罐汽提塔顶罐，分出的油送往抽提塔塔底作芳烃反洗。分离出的水则经汽提塔顶罐水泵增压与来自抽余油水洗塔的水洗水会合后一同送至水汽提塔汽提除去水中的烃类。塔底的富溶剂油作为回收塔的进料。</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回收分离芳烃和环丁环丁砜：</w:t>
      </w:r>
      <w:r>
        <w:rPr>
          <w:rFonts w:hint="default" w:ascii="Times New Roman" w:hAnsi="Times New Roman" w:cs="Times New Roman"/>
          <w:sz w:val="24"/>
        </w:rPr>
        <w:t>回收塔采用常压操作。从汽提塔塔底出来的富溶剂经汽提塔底泵升压后进入回收塔中部。从水汽提塔来的蒸汽和水送往回收塔底作为汽提介质。在回收塔内，苯与水蒸汽从塔顶蒸出，贫溶剂从塔底抽出，回收塔顶物料经回收塔顶空冷器和回收塔后冷器冷却后进入回流罐使芳烃与水分离。从回流罐出来的苯经回收塔回流泵升压后一部分作为回收塔的回流，其余部分去白土罐经处理后进入苯产品中间罐；塔底的贫溶剂部分返回抽提塔循环使用，部分去溶剂再生部分。</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水洗水汽提脱芳烃：</w:t>
      </w:r>
      <w:r>
        <w:rPr>
          <w:rFonts w:hint="default" w:ascii="Times New Roman" w:hAnsi="Times New Roman" w:cs="Times New Roman"/>
          <w:sz w:val="24"/>
        </w:rPr>
        <w:t>为防止非芳烃在水洗系统中聚集，影响苯产品的质量，需要将水中的非芳烃除去。将非芳烃水洗塔底和汽提塔顶回流罐来的含有微量非芳烃的水送入水汽提塔，靠水蒸汽的汽提作用将非芳烃除去，水在整个系统中循环使用。</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b/>
          <w:sz w:val="24"/>
        </w:rPr>
        <w:t>溶剂再生：</w:t>
      </w:r>
      <w:r>
        <w:rPr>
          <w:rFonts w:hint="default" w:ascii="Times New Roman" w:hAnsi="Times New Roman" w:cs="Times New Roman"/>
          <w:sz w:val="24"/>
        </w:rPr>
        <w:t>由于长期的连续运转使用，会有一部分溶剂发生分解、老化、聚合等，为保证溶剂良好的使用性能，需要从系统中脱除老化变质的溶剂。将部分贫溶剂送至多级专用溶剂过滤再生系统过滤，除去机杂、焦质和聚合物等。过滤器用蒸汽、蒸汽冷凝水和氮气反吹再生。</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（3）装置主要操作条件</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b/>
          <w:sz w:val="24"/>
        </w:rPr>
        <w:t xml:space="preserve">   </w:t>
      </w:r>
      <w:r>
        <w:rPr>
          <w:rFonts w:hint="default" w:ascii="Times New Roman" w:hAnsi="Times New Roman" w:cs="Times New Roman"/>
          <w:sz w:val="24"/>
        </w:rPr>
        <w:t xml:space="preserve"> 本装置的主要操作条件见表</w:t>
      </w:r>
      <w:r>
        <w:rPr>
          <w:rFonts w:hint="default" w:ascii="Times New Roman" w:hAnsi="Times New Roman" w:cs="Times New Roman"/>
          <w:sz w:val="24"/>
          <w:lang w:val="en-US" w:eastAsia="zh-CN"/>
        </w:rPr>
        <w:t>3.</w:t>
      </w:r>
      <w:r>
        <w:rPr>
          <w:rFonts w:hint="eastAsia" w:ascii="Times New Roman" w:hAnsi="Times New Roman" w:cs="Times New Roman"/>
          <w:sz w:val="24"/>
          <w:lang w:val="en-US" w:eastAsia="zh-CN"/>
        </w:rPr>
        <w:t>1.2</w:t>
      </w:r>
      <w:r>
        <w:rPr>
          <w:rFonts w:hint="default" w:ascii="Times New Roman" w:hAnsi="Times New Roman" w:cs="Times New Roman"/>
          <w:sz w:val="24"/>
          <w:lang w:val="en-US" w:eastAsia="zh-CN"/>
        </w:rPr>
        <w:t>-14</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spacing w:beforeLines="30" w:afterLines="30" w:line="560" w:lineRule="exact"/>
        <w:jc w:val="center"/>
        <w:textAlignment w:val="auto"/>
        <w:rPr>
          <w:rFonts w:hint="default" w:ascii="Times New Roman" w:hAnsi="Times New Roman" w:cs="Times New Roman"/>
          <w:b/>
          <w:sz w:val="24"/>
          <w:szCs w:val="24"/>
        </w:rPr>
      </w:pPr>
      <w:r>
        <w:rPr>
          <w:rFonts w:hint="default" w:ascii="Times New Roman" w:hAnsi="Times New Roman" w:cs="Times New Roman"/>
          <w:b/>
          <w:sz w:val="24"/>
          <w:szCs w:val="24"/>
        </w:rPr>
        <w:t>表</w:t>
      </w:r>
      <w:r>
        <w:rPr>
          <w:rFonts w:hint="default" w:ascii="Times New Roman" w:hAnsi="Times New Roman" w:cs="Times New Roman"/>
          <w:b/>
          <w:sz w:val="24"/>
          <w:szCs w:val="24"/>
          <w:lang w:val="en-US" w:eastAsia="zh-CN"/>
        </w:rPr>
        <w:t>3.</w:t>
      </w:r>
      <w:r>
        <w:rPr>
          <w:rFonts w:hint="eastAsia" w:ascii="Times New Roman" w:hAnsi="Times New Roman" w:cs="Times New Roman"/>
          <w:b/>
          <w:sz w:val="24"/>
          <w:szCs w:val="24"/>
          <w:lang w:val="en-US" w:eastAsia="zh-CN"/>
        </w:rPr>
        <w:t>1.2</w:t>
      </w:r>
      <w:r>
        <w:rPr>
          <w:rFonts w:hint="default" w:ascii="Times New Roman" w:hAnsi="Times New Roman" w:cs="Times New Roman"/>
          <w:b/>
          <w:sz w:val="24"/>
          <w:szCs w:val="24"/>
          <w:lang w:val="en-US" w:eastAsia="zh-CN"/>
        </w:rPr>
        <w:t xml:space="preserve">-14  </w:t>
      </w:r>
      <w:r>
        <w:rPr>
          <w:rFonts w:hint="default" w:ascii="Times New Roman" w:hAnsi="Times New Roman" w:cs="Times New Roman"/>
          <w:b/>
          <w:sz w:val="24"/>
          <w:szCs w:val="24"/>
        </w:rPr>
        <w:t xml:space="preserve"> 苯抽提装置主要操作条件表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2820"/>
        <w:gridCol w:w="2823"/>
        <w:gridCol w:w="2823"/>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3333" w:type="pct"/>
            <w:gridSpan w:val="2"/>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1667" w:type="pc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数值</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苯抽提塔</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塔顶压力，MPa</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131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回流比（对进料）</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0.025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溶剂比</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溶剂回收塔</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塔顶压力，MPa</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174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回流比（对进料）</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0.054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苯塔</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塔顶压力，MPa</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106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666"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回流比（对进料）</w:t>
            </w:r>
          </w:p>
        </w:tc>
        <w:tc>
          <w:tcPr>
            <w:tcW w:w="166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w:t>
            </w:r>
          </w:p>
        </w:tc>
      </w:tr>
    </w:tbl>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（4）原料、辅助材料和产品</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装置主要原料为连续重整装置脱C6塔顶的C6馏分油。</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辅助材料有环丁环丁砜溶剂、消泡剂、单乙醇胺（MEA）和颗粒白土。</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装置主要产品为苯以及非芳烃。苯去罐区作为产品外售，非芳烃作为汽油调和组分。</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（5）装置的“三废”污染源排放</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本装置正常生产时不产生有组织排放的废气，装置排放的废气为各回流罐的微量不凝气和氮封气G</w:t>
      </w:r>
      <w:r>
        <w:rPr>
          <w:rFonts w:hint="default" w:ascii="Times New Roman" w:hAnsi="Times New Roman" w:cs="Times New Roman" w:eastAsiaTheme="minorEastAsia"/>
          <w:vertAlign w:val="subscript"/>
        </w:rPr>
        <w:t>1</w:t>
      </w:r>
      <w:r>
        <w:rPr>
          <w:rFonts w:hint="default" w:ascii="Times New Roman" w:hAnsi="Times New Roman" w:cs="Times New Roman" w:eastAsiaTheme="minorEastAsia"/>
        </w:rPr>
        <w:t>，含有挥发性烃，其中大部分是氮气，送往全厂的火炬系统焚烧排放。在装置开、停工或生产不平衡等非正常工況下，从安全阀和其它调节阀排出的烃类气体，通过管道送全厂燃料气管网。</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本装置产生的污水主要是部分机泵冷却、地面冲洗等构成的含油废水W</w:t>
      </w:r>
      <w:r>
        <w:rPr>
          <w:rFonts w:hint="default" w:ascii="Times New Roman" w:hAnsi="Times New Roman" w:cs="Times New Roman"/>
          <w:sz w:val="24"/>
          <w:vertAlign w:val="subscript"/>
        </w:rPr>
        <w:t>1</w:t>
      </w:r>
      <w:r>
        <w:rPr>
          <w:rFonts w:hint="default" w:ascii="Times New Roman" w:hAnsi="Times New Roman" w:cs="Times New Roman"/>
          <w:sz w:val="24"/>
        </w:rPr>
        <w:t>，经装置内隔油池一次隔油后排入含油污水场，生活污水，凝结水回收不外排。</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本装置产生的固体废物主要是装置定期排放的废白土S</w:t>
      </w:r>
      <w:r>
        <w:rPr>
          <w:rFonts w:hint="default" w:ascii="Times New Roman" w:hAnsi="Times New Roman" w:cs="Times New Roman"/>
          <w:sz w:val="24"/>
          <w:vertAlign w:val="subscript"/>
        </w:rPr>
        <w:t>1</w:t>
      </w:r>
      <w:r>
        <w:rPr>
          <w:rFonts w:hint="default" w:ascii="Times New Roman" w:hAnsi="Times New Roman" w:cs="Times New Roman"/>
          <w:sz w:val="24"/>
        </w:rPr>
        <w:t>；废环丁环丁砜溶剂及分解物S</w:t>
      </w:r>
      <w:r>
        <w:rPr>
          <w:rFonts w:hint="default" w:ascii="Times New Roman" w:hAnsi="Times New Roman" w:cs="Times New Roman"/>
          <w:sz w:val="24"/>
          <w:vertAlign w:val="subscript"/>
        </w:rPr>
        <w:t>2</w:t>
      </w:r>
      <w:r>
        <w:rPr>
          <w:rFonts w:hint="default" w:ascii="Times New Roman" w:hAnsi="Times New Roman" w:cs="Times New Roman"/>
          <w:sz w:val="24"/>
        </w:rPr>
        <w:t>等。</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工艺流程见图</w:t>
      </w:r>
      <w:r>
        <w:rPr>
          <w:rFonts w:hint="default" w:ascii="Times New Roman" w:hAnsi="Times New Roman" w:cs="Times New Roman"/>
          <w:sz w:val="24"/>
          <w:lang w:val="en-US" w:eastAsia="zh-CN"/>
        </w:rPr>
        <w:t>3.</w:t>
      </w:r>
      <w:r>
        <w:rPr>
          <w:rFonts w:hint="eastAsia" w:ascii="Times New Roman" w:hAnsi="Times New Roman" w:cs="Times New Roman"/>
          <w:sz w:val="24"/>
          <w:lang w:val="en-US" w:eastAsia="zh-CN"/>
        </w:rPr>
        <w:t>1.2</w:t>
      </w:r>
      <w:r>
        <w:rPr>
          <w:rFonts w:hint="default" w:ascii="Times New Roman" w:hAnsi="Times New Roman" w:cs="Times New Roman"/>
          <w:sz w:val="24"/>
          <w:lang w:val="en-US" w:eastAsia="zh-CN"/>
        </w:rPr>
        <w:t>-8</w:t>
      </w:r>
      <w:r>
        <w:rPr>
          <w:rFonts w:hint="default" w:ascii="Times New Roman" w:hAnsi="Times New Roman" w:cs="Times New Roman"/>
          <w:sz w:val="24"/>
        </w:rPr>
        <w:t>、</w:t>
      </w:r>
      <w:r>
        <w:rPr>
          <w:rFonts w:hint="default" w:ascii="Times New Roman" w:hAnsi="Times New Roman" w:cs="Times New Roman"/>
          <w:sz w:val="24"/>
          <w:lang w:val="en-US" w:eastAsia="zh-CN"/>
        </w:rPr>
        <w:t>3.</w:t>
      </w:r>
      <w:r>
        <w:rPr>
          <w:rFonts w:hint="eastAsia" w:ascii="Times New Roman" w:hAnsi="Times New Roman" w:cs="Times New Roman"/>
          <w:sz w:val="24"/>
          <w:lang w:val="en-US" w:eastAsia="zh-CN"/>
        </w:rPr>
        <w:t>1.2</w:t>
      </w:r>
      <w:r>
        <w:rPr>
          <w:rFonts w:hint="default" w:ascii="Times New Roman" w:hAnsi="Times New Roman" w:cs="Times New Roman"/>
          <w:sz w:val="24"/>
          <w:lang w:val="en-US" w:eastAsia="zh-CN"/>
        </w:rPr>
        <w:t>-9</w:t>
      </w:r>
      <w:r>
        <w:rPr>
          <w:rFonts w:hint="default" w:ascii="Times New Roman" w:hAnsi="Times New Roman" w:cs="Times New Roman"/>
          <w:sz w:val="24"/>
        </w:rPr>
        <w:t>。</w:t>
      </w:r>
    </w:p>
    <w:p>
      <w:pPr>
        <w:keepNext/>
        <w:spacing w:line="312" w:lineRule="auto"/>
        <w:rPr>
          <w:rFonts w:asciiTheme="minorEastAsia" w:hAnsiTheme="minorEastAsia"/>
          <w:sz w:val="24"/>
          <w:szCs w:val="20"/>
        </w:rPr>
      </w:pPr>
      <w:r>
        <w:rPr>
          <w:rFonts w:asciiTheme="minorEastAsia" w:hAnsiTheme="minorEastAsia"/>
          <w:sz w:val="24"/>
          <w:szCs w:val="20"/>
        </w:rPr>
        <w:drawing>
          <wp:inline distT="0" distB="0" distL="0" distR="0">
            <wp:extent cx="5895975" cy="2952750"/>
            <wp:effectExtent l="0" t="0" r="9525" b="0"/>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21" cstate="print"/>
                    <a:stretch>
                      <a:fillRect/>
                    </a:stretch>
                  </pic:blipFill>
                  <pic:spPr>
                    <a:xfrm>
                      <a:off x="0" y="0"/>
                      <a:ext cx="5895975" cy="2952750"/>
                    </a:xfrm>
                    <a:prstGeom prst="rect">
                      <a:avLst/>
                    </a:prstGeom>
                  </pic:spPr>
                </pic:pic>
              </a:graphicData>
            </a:graphic>
          </wp:inline>
        </w:drawing>
      </w:r>
    </w:p>
    <w:p>
      <w:pPr>
        <w:spacing w:beforeLines="30" w:afterLines="30"/>
        <w:jc w:val="center"/>
        <w:rPr>
          <w:rFonts w:hint="default" w:ascii="Times New Roman" w:hAnsi="Times New Roman" w:cs="Times New Roman"/>
          <w:b/>
          <w:sz w:val="24"/>
          <w:szCs w:val="24"/>
        </w:rPr>
      </w:pPr>
      <w:r>
        <w:rPr>
          <w:rFonts w:hint="default" w:ascii="Times New Roman" w:hAnsi="Times New Roman" w:cs="Times New Roman"/>
          <w:b/>
          <w:sz w:val="24"/>
          <w:szCs w:val="24"/>
        </w:rPr>
        <w:t>图</w:t>
      </w:r>
      <w:r>
        <w:rPr>
          <w:rFonts w:hint="default" w:ascii="Times New Roman" w:hAnsi="Times New Roman" w:cs="Times New Roman"/>
          <w:b/>
          <w:sz w:val="24"/>
          <w:szCs w:val="24"/>
          <w:lang w:val="en-US" w:eastAsia="zh-CN"/>
        </w:rPr>
        <w:t>3.</w:t>
      </w:r>
      <w:r>
        <w:rPr>
          <w:rFonts w:hint="eastAsia" w:ascii="Times New Roman" w:hAnsi="Times New Roman" w:cs="Times New Roman"/>
          <w:b/>
          <w:sz w:val="24"/>
          <w:szCs w:val="24"/>
          <w:lang w:val="en-US" w:eastAsia="zh-CN"/>
        </w:rPr>
        <w:t>1.2</w:t>
      </w:r>
      <w:r>
        <w:rPr>
          <w:rFonts w:hint="default" w:ascii="Times New Roman" w:hAnsi="Times New Roman" w:cs="Times New Roman"/>
          <w:b/>
          <w:sz w:val="24"/>
          <w:szCs w:val="24"/>
          <w:lang w:val="en-US" w:eastAsia="zh-CN"/>
        </w:rPr>
        <w:t xml:space="preserve">-8  </w:t>
      </w:r>
      <w:r>
        <w:rPr>
          <w:rFonts w:hint="default" w:ascii="Times New Roman" w:hAnsi="Times New Roman" w:cs="Times New Roman"/>
          <w:b/>
          <w:sz w:val="24"/>
          <w:szCs w:val="24"/>
        </w:rPr>
        <w:t xml:space="preserve"> 苯抽提装置工艺流程</w:t>
      </w:r>
    </w:p>
    <w:p>
      <w:pPr>
        <w:spacing w:beforeLines="30" w:afterLines="30"/>
        <w:jc w:val="center"/>
        <w:rPr>
          <w:rFonts w:asciiTheme="minorEastAsia" w:hAnsiTheme="minorEastAsia"/>
          <w:sz w:val="24"/>
          <w:szCs w:val="20"/>
        </w:rPr>
      </w:pPr>
      <w:r>
        <w:rPr>
          <w:rFonts w:asciiTheme="minorEastAsia" w:hAnsiTheme="minorEastAsia"/>
          <w:sz w:val="24"/>
          <w:szCs w:val="20"/>
        </w:rPr>
        <w:drawing>
          <wp:inline distT="0" distB="0" distL="0" distR="0">
            <wp:extent cx="5934075" cy="3092450"/>
            <wp:effectExtent l="0" t="0" r="9525" b="12700"/>
            <wp:docPr id="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9"/>
                    <pic:cNvPicPr>
                      <a:picLocks noChangeAspect="1"/>
                    </pic:cNvPicPr>
                  </pic:nvPicPr>
                  <pic:blipFill>
                    <a:blip r:embed="rId22" cstate="print"/>
                    <a:stretch>
                      <a:fillRect/>
                    </a:stretch>
                  </pic:blipFill>
                  <pic:spPr>
                    <a:xfrm>
                      <a:off x="0" y="0"/>
                      <a:ext cx="5934075" cy="3092450"/>
                    </a:xfrm>
                    <a:prstGeom prst="rect">
                      <a:avLst/>
                    </a:prstGeom>
                  </pic:spPr>
                </pic:pic>
              </a:graphicData>
            </a:graphic>
          </wp:inline>
        </w:drawing>
      </w:r>
    </w:p>
    <w:p>
      <w:pPr>
        <w:spacing w:beforeLines="30" w:afterLines="30"/>
        <w:jc w:val="center"/>
        <w:rPr>
          <w:rFonts w:hint="default" w:ascii="Times New Roman" w:hAnsi="Times New Roman" w:cs="Times New Roman"/>
          <w:b/>
          <w:sz w:val="24"/>
          <w:szCs w:val="24"/>
        </w:rPr>
      </w:pPr>
      <w:r>
        <w:rPr>
          <w:rFonts w:hint="default" w:ascii="Times New Roman" w:hAnsi="Times New Roman" w:cs="Times New Roman"/>
          <w:b/>
          <w:sz w:val="24"/>
          <w:szCs w:val="24"/>
        </w:rPr>
        <w:t>图</w:t>
      </w:r>
      <w:r>
        <w:rPr>
          <w:rFonts w:hint="default" w:ascii="Times New Roman" w:hAnsi="Times New Roman" w:cs="Times New Roman"/>
          <w:b/>
          <w:sz w:val="24"/>
          <w:szCs w:val="24"/>
          <w:lang w:val="en-US" w:eastAsia="zh-CN"/>
        </w:rPr>
        <w:t>3.</w:t>
      </w:r>
      <w:r>
        <w:rPr>
          <w:rFonts w:hint="eastAsia" w:ascii="Times New Roman" w:hAnsi="Times New Roman" w:cs="Times New Roman"/>
          <w:b/>
          <w:sz w:val="24"/>
          <w:szCs w:val="24"/>
          <w:lang w:val="en-US" w:eastAsia="zh-CN"/>
        </w:rPr>
        <w:t>1.2</w:t>
      </w:r>
      <w:r>
        <w:rPr>
          <w:rFonts w:hint="default" w:ascii="Times New Roman" w:hAnsi="Times New Roman" w:cs="Times New Roman"/>
          <w:b/>
          <w:sz w:val="24"/>
          <w:szCs w:val="24"/>
          <w:lang w:val="en-US" w:eastAsia="zh-CN"/>
        </w:rPr>
        <w:t xml:space="preserve">-9  </w:t>
      </w:r>
      <w:r>
        <w:rPr>
          <w:rFonts w:hint="default" w:ascii="Times New Roman" w:hAnsi="Times New Roman" w:cs="Times New Roman"/>
          <w:b/>
          <w:sz w:val="24"/>
          <w:szCs w:val="24"/>
        </w:rPr>
        <w:t xml:space="preserve"> 苯抽提装置工艺流程</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b/>
          <w:kern w:val="0"/>
          <w:sz w:val="24"/>
          <w:szCs w:val="28"/>
        </w:rPr>
      </w:pPr>
      <w:r>
        <w:rPr>
          <w:rFonts w:hint="default" w:ascii="Times New Roman" w:hAnsi="Times New Roman" w:cs="Times New Roman"/>
          <w:b/>
          <w:kern w:val="0"/>
          <w:sz w:val="24"/>
          <w:szCs w:val="28"/>
        </w:rPr>
        <w:t>3、氢气提纯装置</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lang w:val="zh-CN"/>
        </w:rPr>
        <w:t>本装置是以催化裂化装置干气、柴油加氢精制装置的低分气、柴油加氢改质降凝装置的低分气以及连续重整装置的重整氢为氢提纯原料，经变压吸附等处理生产纯氢</w:t>
      </w:r>
      <w:r>
        <w:rPr>
          <w:rFonts w:hint="default" w:ascii="Times New Roman" w:hAnsi="Times New Roman" w:cs="Times New Roman"/>
          <w:kern w:val="0"/>
          <w:sz w:val="24"/>
        </w:rPr>
        <w:t>，为全厂加氢处理装置提供氢源。</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装置</w:t>
      </w:r>
      <w:r>
        <w:rPr>
          <w:rFonts w:hint="default" w:ascii="Times New Roman" w:hAnsi="Times New Roman" w:cs="Times New Roman"/>
          <w:kern w:val="0"/>
          <w:sz w:val="24"/>
          <w:lang w:val="zh-CN"/>
        </w:rPr>
        <w:t>设计规模为工业氢气3万吨/年（</w:t>
      </w:r>
      <w:r>
        <w:rPr>
          <w:rFonts w:hint="default" w:ascii="Times New Roman" w:hAnsi="Times New Roman" w:cs="Times New Roman"/>
          <w:kern w:val="0"/>
          <w:sz w:val="24"/>
        </w:rPr>
        <w:t>30000Nm</w:t>
      </w:r>
      <w:r>
        <w:rPr>
          <w:rFonts w:hint="default" w:ascii="Times New Roman" w:hAnsi="Times New Roman" w:cs="Times New Roman"/>
          <w:kern w:val="0"/>
          <w:sz w:val="24"/>
          <w:vertAlign w:val="superscript"/>
        </w:rPr>
        <w:t>3</w:t>
      </w:r>
      <w:r>
        <w:rPr>
          <w:rFonts w:hint="default" w:ascii="Times New Roman" w:hAnsi="Times New Roman" w:cs="Times New Roman"/>
          <w:kern w:val="0"/>
          <w:sz w:val="24"/>
        </w:rPr>
        <w:t>/h）</w:t>
      </w:r>
      <w:r>
        <w:rPr>
          <w:rFonts w:hint="default" w:ascii="Times New Roman" w:hAnsi="Times New Roman" w:cs="Times New Roman"/>
          <w:kern w:val="0"/>
          <w:sz w:val="24"/>
          <w:lang w:val="zh-CN"/>
        </w:rPr>
        <w:t>，</w:t>
      </w:r>
      <w:r>
        <w:rPr>
          <w:rFonts w:hint="default" w:ascii="Times New Roman" w:hAnsi="Times New Roman" w:cs="Times New Roman"/>
          <w:kern w:val="0"/>
          <w:sz w:val="24"/>
        </w:rPr>
        <w:t>实际产氢量2.5万吨/年，年开工时间8400小时。装置主要由膜分离、原料预处理、PSA和解吸气压缩四部分组成。</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lang w:val="zh-CN"/>
        </w:rPr>
      </w:pPr>
      <w:r>
        <w:rPr>
          <w:rFonts w:hint="default" w:ascii="Times New Roman" w:hAnsi="Times New Roman" w:cs="Times New Roman"/>
          <w:kern w:val="0"/>
          <w:sz w:val="24"/>
          <w:lang w:val="zh-CN"/>
        </w:rPr>
        <w:t>装置的主要产品为工业氢（纯度99.90%），作为全厂加氢处理装置的氢源。装置副产的变压吸附尾气</w:t>
      </w:r>
      <w:r>
        <w:rPr>
          <w:rFonts w:hint="default" w:ascii="Times New Roman" w:hAnsi="Times New Roman" w:cs="Times New Roman"/>
          <w:kern w:val="0"/>
          <w:sz w:val="24"/>
        </w:rPr>
        <w:t>作为燃料气经压缩后送入燃料气管网作燃料。</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（1）主要工艺技术特点</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以催化干气、加氢低分气和重整氢为原料进行PSA氢提纯；</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采用真空变压吸附路线</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（2）工艺流程</w:t>
      </w:r>
    </w:p>
    <w:p>
      <w:pPr>
        <w:keepNext w:val="0"/>
        <w:keepLines w:val="0"/>
        <w:pageBreakBefore w:val="0"/>
        <w:widowControl w:val="0"/>
        <w:kinsoku/>
        <w:wordWrap/>
        <w:overflowPunct/>
        <w:topLinePunct w:val="0"/>
        <w:autoSpaceDE w:val="0"/>
        <w:autoSpaceDN w:val="0"/>
        <w:bidi w:val="0"/>
        <w:adjustRightInd/>
        <w:spacing w:line="560" w:lineRule="exact"/>
        <w:ind w:left="0" w:firstLine="512" w:firstLineChars="200"/>
        <w:jc w:val="left"/>
        <w:textAlignment w:val="auto"/>
        <w:rPr>
          <w:rFonts w:hint="default" w:ascii="Times New Roman" w:hAnsi="Times New Roman" w:cs="Times New Roman"/>
          <w:b/>
          <w:kern w:val="0"/>
          <w:sz w:val="24"/>
        </w:rPr>
      </w:pPr>
      <w:r>
        <w:rPr>
          <w:rFonts w:hint="default" w:ascii="Times New Roman" w:hAnsi="Times New Roman" w:cs="Times New Roman"/>
          <w:b/>
          <w:sz w:val="24"/>
        </w:rPr>
        <w:t>原料预处理单元</w:t>
      </w:r>
      <w:r>
        <w:rPr>
          <w:rFonts w:hint="default" w:ascii="Times New Roman" w:hAnsi="Times New Roman" w:cs="Times New Roman"/>
          <w:b/>
          <w:kern w:val="0"/>
          <w:sz w:val="24"/>
        </w:rPr>
        <w:t>：</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来自界区外的含氢原料气压力0.6MPa、温度40℃，进入本装置后，首先经原料气压缩机压缩至2.2MPa，然后进入前处理塔分离并吸附掉其中夹带和冷凝出的液滴后，送入变压吸附单元。</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变压吸附单元：</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变压吸附单元总共10台吸附塔，2塔始终处于同时进料吸附的状态，吸附和再生工艺过程由吸附、连续六次均压、顺放、冲洗、连续六次均压升压和产品气升压等步骤组成。主要过程如下：</w:t>
      </w:r>
    </w:p>
    <w:p>
      <w:pPr>
        <w:keepNext w:val="0"/>
        <w:keepLines w:val="0"/>
        <w:pageBreakBefore w:val="0"/>
        <w:widowControl w:val="0"/>
        <w:numPr>
          <w:ilvl w:val="0"/>
          <w:numId w:val="3"/>
        </w:numPr>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吸附过程</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原料气自塔底进入正处于吸附状态的吸附塔内，在多种吸附剂的依次选择吸附下，其中的H</w:t>
      </w:r>
      <w:r>
        <w:rPr>
          <w:rFonts w:hint="default" w:ascii="Times New Roman" w:hAnsi="Times New Roman" w:cs="Times New Roman"/>
          <w:sz w:val="24"/>
          <w:vertAlign w:val="subscript"/>
        </w:rPr>
        <w:t>2</w:t>
      </w:r>
      <w:r>
        <w:rPr>
          <w:rFonts w:hint="default" w:ascii="Times New Roman" w:hAnsi="Times New Roman" w:cs="Times New Roman"/>
          <w:sz w:val="24"/>
        </w:rPr>
        <w:t>O、CO</w:t>
      </w:r>
      <w:r>
        <w:rPr>
          <w:rFonts w:hint="default" w:ascii="Times New Roman" w:hAnsi="Times New Roman" w:cs="Times New Roman"/>
          <w:sz w:val="24"/>
          <w:vertAlign w:val="subscript"/>
        </w:rPr>
        <w:t>2</w:t>
      </w:r>
      <w:r>
        <w:rPr>
          <w:rFonts w:hint="default" w:ascii="Times New Roman" w:hAnsi="Times New Roman" w:cs="Times New Roman"/>
          <w:sz w:val="24"/>
        </w:rPr>
        <w:t>、CH</w:t>
      </w:r>
      <w:r>
        <w:rPr>
          <w:rFonts w:hint="default" w:ascii="Times New Roman" w:hAnsi="Times New Roman" w:cs="Times New Roman"/>
          <w:sz w:val="24"/>
          <w:vertAlign w:val="subscript"/>
        </w:rPr>
        <w:t>4</w:t>
      </w:r>
      <w:r>
        <w:rPr>
          <w:rFonts w:hint="default" w:ascii="Times New Roman" w:hAnsi="Times New Roman" w:cs="Times New Roman"/>
          <w:sz w:val="24"/>
        </w:rPr>
        <w:t>和其它烃类等杂质被吸附下来。未被吸附的氢气作为产品从塔顶流出，经压力调节系统稳压后送出界区。当被吸附杂质的传质区前沿到达床层出口预留段时，关掉该吸附塔的原料气进料阀和产品气出口阀，停止吸附，吸附床转入再生过程。</w:t>
      </w:r>
    </w:p>
    <w:p>
      <w:pPr>
        <w:keepNext w:val="0"/>
        <w:keepLines w:val="0"/>
        <w:pageBreakBefore w:val="0"/>
        <w:widowControl w:val="0"/>
        <w:numPr>
          <w:ilvl w:val="0"/>
          <w:numId w:val="3"/>
        </w:numPr>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 xml:space="preserve"> 均压降压过程</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吸附过程结束后，顺着吸附方向将塔内的较高压力的氢气放入其它已完成再生的较低压力吸附塔的过程，该过程不仅是降压过程，更是回收床层死空间氢气的过程，本流程共包括六次连续的均压降压过程，可保证氢气的充分回收。</w:t>
      </w:r>
    </w:p>
    <w:p>
      <w:pPr>
        <w:keepNext w:val="0"/>
        <w:keepLines w:val="0"/>
        <w:pageBreakBefore w:val="0"/>
        <w:widowControl w:val="0"/>
        <w:numPr>
          <w:ilvl w:val="0"/>
          <w:numId w:val="3"/>
        </w:numPr>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 xml:space="preserve"> 顺放过程</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吸附过程结束后，首先顺着吸附方向将吸附塔顶部的产品氢气快速回收进顺放气缓冲罐的过程，这部分氢气将用作吸附剂的再生气源。</w:t>
      </w:r>
    </w:p>
    <w:p>
      <w:pPr>
        <w:keepNext w:val="0"/>
        <w:keepLines w:val="0"/>
        <w:pageBreakBefore w:val="0"/>
        <w:widowControl w:val="0"/>
        <w:numPr>
          <w:ilvl w:val="0"/>
          <w:numId w:val="3"/>
        </w:numPr>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 xml:space="preserve"> 逆放过程</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顺放过程结束后，吸附前沿已达到床层出口。这时，逆着吸附方向吸附塔压力降至0.05MPa左右，此时被吸附的杂质开始从吸附剂中大量解吸出来，逆放解吸气进逆放解吸气缓冲罐。</w:t>
      </w:r>
    </w:p>
    <w:p>
      <w:pPr>
        <w:keepNext w:val="0"/>
        <w:keepLines w:val="0"/>
        <w:pageBreakBefore w:val="0"/>
        <w:widowControl w:val="0"/>
        <w:numPr>
          <w:ilvl w:val="0"/>
          <w:numId w:val="3"/>
        </w:numPr>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 xml:space="preserve"> 真空过程</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在逆放过程全部结束后，为使吸附剂得到彻底的再生，用顺放气缓冲罐中的氢气逆着吸附方向对吸附床层进行冲洗，进一步降低杂质组分的分率，使吸附剂得以彻底再生，该过程应尽量缓慢匀速以保证再生的效果。</w:t>
      </w:r>
    </w:p>
    <w:p>
      <w:pPr>
        <w:keepNext w:val="0"/>
        <w:keepLines w:val="0"/>
        <w:pageBreakBefore w:val="0"/>
        <w:widowControl w:val="0"/>
        <w:numPr>
          <w:ilvl w:val="0"/>
          <w:numId w:val="3"/>
        </w:numPr>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 xml:space="preserve"> 均压升压过程</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在冲洗再生过程完成后，用来自其它吸附塔的较高压力氢气依次对该吸附塔进行升压，这一过程与均压降压过程相对应，不仅是升压过程，而且更是回收其它塔的床层死空间氢气的过程，本流程共包括了连续六次均压升压过程。</w:t>
      </w:r>
    </w:p>
    <w:p>
      <w:pPr>
        <w:keepNext w:val="0"/>
        <w:keepLines w:val="0"/>
        <w:pageBreakBefore w:val="0"/>
        <w:widowControl w:val="0"/>
        <w:numPr>
          <w:ilvl w:val="0"/>
          <w:numId w:val="3"/>
        </w:numPr>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 xml:space="preserve"> 产品气升压过程</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在六次均压升压过程完成后，为了使吸附塔可以平稳的切换至下一次吸附并保证产品纯度在这一过程中不发生波动，需要通过升压调节阀缓慢而平稳地用产品氢气将吸附塔压力升至吸附压力。</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经这一过程后吸附塔便完成了一个完整的“吸附-再生”循环，又为下一次吸附做好了准备。</w:t>
      </w:r>
    </w:p>
    <w:p>
      <w:pPr>
        <w:keepNext w:val="0"/>
        <w:keepLines w:val="0"/>
        <w:pageBreakBefore w:val="0"/>
        <w:widowControl w:val="0"/>
        <w:kinsoku/>
        <w:wordWrap/>
        <w:overflowPunct/>
        <w:topLinePunct w:val="0"/>
        <w:bidi w:val="0"/>
        <w:adjustRightInd/>
        <w:spacing w:line="560" w:lineRule="exact"/>
        <w:ind w:left="0"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解吸气压缩单元：</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解吸气由解吸气缓冲罐出口压力0.035MPa经解吸气压缩机压缩至0.65MPa后送入装置外燃料气管网。</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（3）装置操作条件</w:t>
      </w:r>
    </w:p>
    <w:p>
      <w:pPr>
        <w:keepNext w:val="0"/>
        <w:keepLines w:val="0"/>
        <w:pageBreakBefore w:val="0"/>
        <w:widowControl w:val="0"/>
        <w:kinsoku/>
        <w:wordWrap/>
        <w:overflowPunct/>
        <w:topLinePunct w:val="0"/>
        <w:bidi w:val="0"/>
        <w:adjustRightInd/>
        <w:snapToGrid w:val="0"/>
        <w:spacing w:line="56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本装置的操作条件见表</w:t>
      </w:r>
      <w:r>
        <w:rPr>
          <w:rFonts w:hint="default" w:ascii="Times New Roman" w:hAnsi="Times New Roman" w:cs="Times New Roman"/>
          <w:kern w:val="0"/>
          <w:sz w:val="24"/>
          <w:lang w:val="en-US" w:eastAsia="zh-CN"/>
        </w:rPr>
        <w:t>3.</w:t>
      </w:r>
      <w:r>
        <w:rPr>
          <w:rFonts w:hint="eastAsia" w:ascii="Times New Roman" w:hAnsi="Times New Roman" w:cs="Times New Roman"/>
          <w:kern w:val="0"/>
          <w:sz w:val="24"/>
          <w:lang w:val="en-US" w:eastAsia="zh-CN"/>
        </w:rPr>
        <w:t>1.2</w:t>
      </w:r>
      <w:r>
        <w:rPr>
          <w:rFonts w:hint="default" w:ascii="Times New Roman" w:hAnsi="Times New Roman" w:cs="Times New Roman"/>
          <w:kern w:val="0"/>
          <w:sz w:val="24"/>
          <w:lang w:val="en-US" w:eastAsia="zh-CN"/>
        </w:rPr>
        <w:t>-15</w:t>
      </w:r>
      <w:r>
        <w:rPr>
          <w:rFonts w:hint="default" w:ascii="Times New Roman" w:hAnsi="Times New Roman" w:cs="Times New Roman"/>
          <w:kern w:val="0"/>
          <w:sz w:val="24"/>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cs="Times New Roman"/>
          <w:b/>
          <w:sz w:val="22"/>
        </w:rPr>
      </w:pPr>
      <w:r>
        <w:rPr>
          <w:rFonts w:hint="default" w:ascii="Times New Roman" w:hAnsi="Times New Roman" w:cs="Times New Roman"/>
          <w:b/>
          <w:sz w:val="22"/>
        </w:rPr>
        <w:t>表</w:t>
      </w:r>
      <w:r>
        <w:rPr>
          <w:rFonts w:hint="default" w:ascii="Times New Roman" w:hAnsi="Times New Roman" w:cs="Times New Roman"/>
          <w:b/>
          <w:sz w:val="22"/>
          <w:lang w:val="en-US" w:eastAsia="zh-CN"/>
        </w:rPr>
        <w:t>3.</w:t>
      </w:r>
      <w:r>
        <w:rPr>
          <w:rFonts w:hint="eastAsia" w:ascii="Times New Roman" w:hAnsi="Times New Roman" w:cs="Times New Roman"/>
          <w:b/>
          <w:sz w:val="22"/>
          <w:lang w:val="en-US" w:eastAsia="zh-CN"/>
        </w:rPr>
        <w:t>1.2</w:t>
      </w:r>
      <w:r>
        <w:rPr>
          <w:rFonts w:hint="default" w:ascii="Times New Roman" w:hAnsi="Times New Roman" w:cs="Times New Roman"/>
          <w:b/>
          <w:sz w:val="22"/>
          <w:lang w:val="en-US" w:eastAsia="zh-CN"/>
        </w:rPr>
        <w:t>-15</w:t>
      </w:r>
      <w:r>
        <w:rPr>
          <w:rFonts w:hint="default" w:ascii="Times New Roman" w:hAnsi="Times New Roman" w:cs="Times New Roman"/>
          <w:b/>
          <w:sz w:val="22"/>
        </w:rPr>
        <w:t xml:space="preserve">   装置主要操作条件表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046"/>
        <w:gridCol w:w="3635"/>
        <w:gridCol w:w="1739"/>
        <w:gridCol w:w="2046"/>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6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序号</w:t>
            </w:r>
          </w:p>
        </w:tc>
        <w:tc>
          <w:tcPr>
            <w:tcW w:w="214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w:t>
            </w:r>
          </w:p>
        </w:tc>
        <w:tc>
          <w:tcPr>
            <w:tcW w:w="102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温度，℃</w:t>
            </w:r>
          </w:p>
        </w:tc>
        <w:tc>
          <w:tcPr>
            <w:tcW w:w="120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压力，MPa</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6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214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原料气分液罐</w:t>
            </w:r>
          </w:p>
        </w:tc>
        <w:tc>
          <w:tcPr>
            <w:tcW w:w="102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40</w:t>
            </w:r>
          </w:p>
        </w:tc>
        <w:tc>
          <w:tcPr>
            <w:tcW w:w="120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6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214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吸附塔（C-501A~J）</w:t>
            </w:r>
          </w:p>
        </w:tc>
        <w:tc>
          <w:tcPr>
            <w:tcW w:w="102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40</w:t>
            </w:r>
          </w:p>
        </w:tc>
        <w:tc>
          <w:tcPr>
            <w:tcW w:w="120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-0.08～2.4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6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214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吸附塔（C-502A~D）</w:t>
            </w:r>
          </w:p>
        </w:tc>
        <w:tc>
          <w:tcPr>
            <w:tcW w:w="102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40</w:t>
            </w:r>
          </w:p>
        </w:tc>
        <w:tc>
          <w:tcPr>
            <w:tcW w:w="120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0.05～2.3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6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w:t>
            </w:r>
          </w:p>
        </w:tc>
        <w:tc>
          <w:tcPr>
            <w:tcW w:w="214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解吸气压缩机</w:t>
            </w:r>
          </w:p>
        </w:tc>
        <w:tc>
          <w:tcPr>
            <w:tcW w:w="102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40</w:t>
            </w:r>
          </w:p>
        </w:tc>
        <w:tc>
          <w:tcPr>
            <w:tcW w:w="120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0.02/0.5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61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w:t>
            </w:r>
          </w:p>
        </w:tc>
        <w:tc>
          <w:tcPr>
            <w:tcW w:w="214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氢气压缩机</w:t>
            </w:r>
          </w:p>
        </w:tc>
        <w:tc>
          <w:tcPr>
            <w:tcW w:w="1027"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40</w:t>
            </w:r>
          </w:p>
        </w:tc>
        <w:tc>
          <w:tcPr>
            <w:tcW w:w="1208"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2.25/6.2</w:t>
            </w:r>
          </w:p>
        </w:tc>
      </w:tr>
    </w:tbl>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（4）原料、辅助材料和产品</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装置原料为脱硫催化干气、重整氢气、脱硫低分气及其混合气。</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辅助材料主要为变压吸附剂。</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本装置主要产品为氢气、高纯氢及解吸气，氢气（29964Nm</w:t>
      </w:r>
      <w:r>
        <w:rPr>
          <w:rFonts w:hint="default" w:ascii="Times New Roman" w:hAnsi="Times New Roman" w:cs="Times New Roman"/>
          <w:kern w:val="0"/>
          <w:sz w:val="24"/>
          <w:vertAlign w:val="superscript"/>
        </w:rPr>
        <w:t>3</w:t>
      </w:r>
      <w:r>
        <w:rPr>
          <w:rFonts w:hint="default" w:ascii="Times New Roman" w:hAnsi="Times New Roman" w:cs="Times New Roman"/>
          <w:kern w:val="0"/>
          <w:sz w:val="24"/>
        </w:rPr>
        <w:t>/h）去加氢改质装置，高纯氢（280Nm</w:t>
      </w:r>
      <w:r>
        <w:rPr>
          <w:rFonts w:hint="default" w:ascii="Times New Roman" w:hAnsi="Times New Roman" w:cs="Times New Roman"/>
          <w:kern w:val="0"/>
          <w:sz w:val="24"/>
          <w:vertAlign w:val="superscript"/>
        </w:rPr>
        <w:t>3</w:t>
      </w:r>
      <w:r>
        <w:rPr>
          <w:rFonts w:hint="default" w:ascii="Times New Roman" w:hAnsi="Times New Roman" w:cs="Times New Roman"/>
          <w:kern w:val="0"/>
          <w:sz w:val="24"/>
        </w:rPr>
        <w:t>/h）去聚乙烯装置，解吸气（3700.3Nm</w:t>
      </w:r>
      <w:r>
        <w:rPr>
          <w:rFonts w:hint="default" w:ascii="Times New Roman" w:hAnsi="Times New Roman" w:cs="Times New Roman"/>
          <w:kern w:val="0"/>
          <w:sz w:val="24"/>
          <w:vertAlign w:val="superscript"/>
        </w:rPr>
        <w:t>3</w:t>
      </w:r>
      <w:r>
        <w:rPr>
          <w:rFonts w:hint="default" w:ascii="Times New Roman" w:hAnsi="Times New Roman" w:cs="Times New Roman"/>
          <w:kern w:val="0"/>
          <w:sz w:val="24"/>
        </w:rPr>
        <w:t>/h）去燃料气管网。</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（5）装置的“三废”污染源排放</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本装置的废气主要安全阀排气G</w:t>
      </w:r>
      <w:r>
        <w:rPr>
          <w:rFonts w:hint="default" w:ascii="Times New Roman" w:hAnsi="Times New Roman" w:cs="Times New Roman"/>
          <w:kern w:val="0"/>
          <w:sz w:val="24"/>
          <w:vertAlign w:val="subscript"/>
        </w:rPr>
        <w:t>1</w:t>
      </w:r>
      <w:r>
        <w:rPr>
          <w:rFonts w:hint="default" w:ascii="Times New Roman" w:hAnsi="Times New Roman" w:cs="Times New Roman"/>
          <w:kern w:val="0"/>
          <w:sz w:val="24"/>
        </w:rPr>
        <w:t>，非正常工况下气体放空气G</w:t>
      </w:r>
      <w:r>
        <w:rPr>
          <w:rFonts w:hint="default" w:ascii="Times New Roman" w:hAnsi="Times New Roman" w:cs="Times New Roman"/>
          <w:kern w:val="0"/>
          <w:sz w:val="24"/>
          <w:vertAlign w:val="subscript"/>
        </w:rPr>
        <w:t>2</w:t>
      </w:r>
      <w:r>
        <w:rPr>
          <w:rFonts w:hint="default" w:ascii="Times New Roman" w:hAnsi="Times New Roman" w:cs="Times New Roman"/>
          <w:kern w:val="0"/>
          <w:sz w:val="24"/>
        </w:rPr>
        <w:t>，装置开工过程的置换气G</w:t>
      </w:r>
      <w:r>
        <w:rPr>
          <w:rFonts w:hint="default" w:ascii="Times New Roman" w:hAnsi="Times New Roman" w:cs="Times New Roman"/>
          <w:kern w:val="0"/>
          <w:sz w:val="24"/>
          <w:vertAlign w:val="subscript"/>
        </w:rPr>
        <w:t>3</w:t>
      </w:r>
      <w:r>
        <w:rPr>
          <w:rFonts w:hint="default" w:ascii="Times New Roman" w:hAnsi="Times New Roman" w:cs="Times New Roman"/>
          <w:kern w:val="0"/>
          <w:sz w:val="24"/>
        </w:rPr>
        <w:t>。</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本装置的废水主要来自地面冲洗水和真空出口的气体夹带水W</w:t>
      </w:r>
      <w:r>
        <w:rPr>
          <w:rFonts w:hint="default" w:ascii="Times New Roman" w:hAnsi="Times New Roman" w:cs="Times New Roman"/>
          <w:kern w:val="0"/>
          <w:sz w:val="24"/>
          <w:vertAlign w:val="subscript"/>
        </w:rPr>
        <w:t>1</w:t>
      </w:r>
      <w:r>
        <w:rPr>
          <w:rFonts w:hint="default" w:ascii="Times New Roman" w:hAnsi="Times New Roman" w:cs="Times New Roman"/>
          <w:kern w:val="0"/>
          <w:sz w:val="24"/>
        </w:rPr>
        <w:t>；生活污水等。</w:t>
      </w:r>
    </w:p>
    <w:p>
      <w:pPr>
        <w:pStyle w:val="39"/>
        <w:keepNext w:val="0"/>
        <w:keepLines w:val="0"/>
        <w:pageBreakBefore w:val="0"/>
        <w:widowControl w:val="0"/>
        <w:kinsoku/>
        <w:wordWrap/>
        <w:overflowPunct/>
        <w:topLinePunct w:val="0"/>
        <w:bidi w:val="0"/>
        <w:spacing w:line="500" w:lineRule="exact"/>
        <w:ind w:left="0" w:firstLine="512" w:firstLineChars="200"/>
        <w:jc w:val="left"/>
        <w:textAlignment w:val="auto"/>
        <w:rPr>
          <w:rFonts w:hint="default" w:ascii="Times New Roman" w:hAnsi="Times New Roman" w:cs="Times New Roman" w:eastAsiaTheme="minorEastAsia"/>
          <w:kern w:val="2"/>
        </w:rPr>
      </w:pPr>
      <w:r>
        <w:rPr>
          <w:rFonts w:hint="default" w:ascii="Times New Roman" w:hAnsi="Times New Roman" w:cs="Times New Roman" w:eastAsiaTheme="minorEastAsia"/>
          <w:kern w:val="2"/>
        </w:rPr>
        <w:t>本装置固体废物来自于装置产生的废吸附剂S</w:t>
      </w:r>
      <w:r>
        <w:rPr>
          <w:rFonts w:hint="default" w:ascii="Times New Roman" w:hAnsi="Times New Roman" w:cs="Times New Roman" w:eastAsiaTheme="minorEastAsia"/>
          <w:kern w:val="2"/>
          <w:vertAlign w:val="subscript"/>
        </w:rPr>
        <w:t>1</w:t>
      </w:r>
      <w:r>
        <w:rPr>
          <w:rFonts w:hint="default" w:ascii="Times New Roman" w:hAnsi="Times New Roman" w:cs="Times New Roman" w:eastAsiaTheme="minorEastAsia"/>
          <w:kern w:val="2"/>
        </w:rPr>
        <w:t>和废焦炭S</w:t>
      </w:r>
      <w:r>
        <w:rPr>
          <w:rFonts w:hint="default" w:ascii="Times New Roman" w:hAnsi="Times New Roman" w:cs="Times New Roman" w:eastAsiaTheme="minorEastAsia"/>
          <w:kern w:val="2"/>
          <w:vertAlign w:val="subscript"/>
        </w:rPr>
        <w:t>2</w:t>
      </w:r>
      <w:r>
        <w:rPr>
          <w:rFonts w:hint="default" w:ascii="Times New Roman" w:hAnsi="Times New Roman" w:cs="Times New Roman" w:eastAsiaTheme="minorEastAsia"/>
          <w:kern w:val="2"/>
        </w:rPr>
        <w:t>。</w:t>
      </w:r>
    </w:p>
    <w:p>
      <w:pPr>
        <w:keepNext w:val="0"/>
        <w:keepLines w:val="0"/>
        <w:pageBreakBefore w:val="0"/>
        <w:widowControl w:val="0"/>
        <w:kinsoku/>
        <w:wordWrap/>
        <w:overflowPunct/>
        <w:topLinePunct w:val="0"/>
        <w:bidi w:val="0"/>
        <w:spacing w:line="500" w:lineRule="exact"/>
        <w:ind w:left="0"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4、柴油加氢改质降凝装置</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lang w:val="zh-CN"/>
        </w:rPr>
        <w:t>本装置的加工原料为来自催化裂化装置的催化</w:t>
      </w:r>
      <w:r>
        <w:rPr>
          <w:rFonts w:hint="default" w:ascii="Times New Roman" w:hAnsi="Times New Roman" w:cs="Times New Roman"/>
          <w:kern w:val="0"/>
          <w:sz w:val="24"/>
        </w:rPr>
        <w:t>柴油，经过加氢改质降凝处理生产优质低凝柴油调合组分，使与直馏柴油和加氢精制柴油组分调和后，生产满足国Ⅲ和国Ⅳ质量标准的柴油产品，副产的改质石脑油作为石脑油产品和汽油调和组分。</w:t>
      </w:r>
    </w:p>
    <w:p>
      <w:pPr>
        <w:keepNext w:val="0"/>
        <w:keepLines w:val="0"/>
        <w:pageBreakBefore w:val="0"/>
        <w:widowControl w:val="0"/>
        <w:kinsoku/>
        <w:wordWrap/>
        <w:overflowPunct/>
        <w:topLinePunct w:val="0"/>
        <w:autoSpaceDE w:val="0"/>
        <w:autoSpaceDN w:val="0"/>
        <w:bidi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装置</w:t>
      </w:r>
      <w:r>
        <w:rPr>
          <w:rFonts w:hint="default" w:ascii="Times New Roman" w:hAnsi="Times New Roman" w:cs="Times New Roman"/>
          <w:kern w:val="0"/>
          <w:sz w:val="24"/>
          <w:lang w:val="zh-CN"/>
        </w:rPr>
        <w:t>设计规模为90万吨/年，</w:t>
      </w:r>
      <w:r>
        <w:rPr>
          <w:rFonts w:hint="default" w:ascii="Times New Roman" w:hAnsi="Times New Roman" w:cs="Times New Roman"/>
          <w:kern w:val="0"/>
          <w:sz w:val="24"/>
        </w:rPr>
        <w:t>实际进料86.37万吨/年。装置所用氢气1.38万吨/年，由PSA装置提供。年开工时间8400 小时。装置主要由反应部分和分馏部分组成。</w:t>
      </w:r>
    </w:p>
    <w:p>
      <w:pPr>
        <w:keepNext w:val="0"/>
        <w:keepLines w:val="0"/>
        <w:pageBreakBefore w:val="0"/>
        <w:widowControl w:val="0"/>
        <w:kinsoku/>
        <w:wordWrap/>
        <w:overflowPunct/>
        <w:topLinePunct w:val="0"/>
        <w:autoSpaceDE w:val="0"/>
        <w:autoSpaceDN w:val="0"/>
        <w:bidi w:val="0"/>
        <w:spacing w:line="500" w:lineRule="exact"/>
        <w:ind w:left="0" w:firstLine="512" w:firstLineChars="200"/>
        <w:jc w:val="left"/>
        <w:textAlignment w:val="auto"/>
        <w:rPr>
          <w:rFonts w:hint="default" w:ascii="Times New Roman" w:hAnsi="Times New Roman" w:cs="Times New Roman"/>
          <w:kern w:val="0"/>
          <w:sz w:val="24"/>
          <w:lang w:val="zh-CN"/>
        </w:rPr>
      </w:pPr>
      <w:r>
        <w:rPr>
          <w:rFonts w:hint="default" w:ascii="Times New Roman" w:hAnsi="Times New Roman" w:cs="Times New Roman"/>
          <w:kern w:val="0"/>
          <w:sz w:val="24"/>
          <w:lang w:val="zh-CN"/>
        </w:rPr>
        <w:t>装置的主要产品为</w:t>
      </w:r>
      <w:r>
        <w:rPr>
          <w:rFonts w:hint="default" w:ascii="Times New Roman" w:hAnsi="Times New Roman" w:cs="Times New Roman"/>
          <w:kern w:val="0"/>
          <w:sz w:val="24"/>
        </w:rPr>
        <w:t>改质石脑油、改质柴油、H</w:t>
      </w:r>
      <w:r>
        <w:rPr>
          <w:rFonts w:hint="default" w:ascii="Times New Roman" w:hAnsi="Times New Roman" w:cs="Times New Roman"/>
          <w:kern w:val="0"/>
          <w:sz w:val="24"/>
          <w:vertAlign w:val="subscript"/>
        </w:rPr>
        <w:t>2</w:t>
      </w:r>
      <w:r>
        <w:rPr>
          <w:rFonts w:hint="default" w:ascii="Times New Roman" w:hAnsi="Times New Roman" w:cs="Times New Roman"/>
          <w:kern w:val="0"/>
          <w:sz w:val="24"/>
        </w:rPr>
        <w:t>S、低分气、干气。</w:t>
      </w:r>
      <w:r>
        <w:rPr>
          <w:rFonts w:hint="default" w:ascii="Times New Roman" w:hAnsi="Times New Roman" w:cs="Times New Roman"/>
          <w:kern w:val="0"/>
          <w:sz w:val="24"/>
          <w:lang w:val="zh-CN"/>
        </w:rPr>
        <w:t>其中</w:t>
      </w:r>
      <w:r>
        <w:rPr>
          <w:rFonts w:hint="default" w:ascii="Times New Roman" w:hAnsi="Times New Roman" w:cs="Times New Roman"/>
          <w:kern w:val="0"/>
          <w:sz w:val="24"/>
        </w:rPr>
        <w:t>改质</w:t>
      </w:r>
      <w:r>
        <w:rPr>
          <w:rFonts w:hint="default" w:ascii="Times New Roman" w:hAnsi="Times New Roman" w:cs="Times New Roman"/>
          <w:kern w:val="0"/>
          <w:sz w:val="24"/>
          <w:lang w:val="zh-CN"/>
        </w:rPr>
        <w:t>石脑油送至</w:t>
      </w:r>
      <w:r>
        <w:rPr>
          <w:rFonts w:hint="default" w:ascii="Times New Roman" w:hAnsi="Times New Roman" w:cs="Times New Roman"/>
          <w:sz w:val="24"/>
        </w:rPr>
        <w:t>连续重整单元石脑油预处理装置作原料；</w:t>
      </w:r>
      <w:r>
        <w:rPr>
          <w:rFonts w:hint="default" w:ascii="Times New Roman" w:hAnsi="Times New Roman" w:cs="Times New Roman"/>
          <w:kern w:val="0"/>
          <w:sz w:val="24"/>
          <w:lang w:val="zh-CN"/>
        </w:rPr>
        <w:t>改质柴油做柴油产品调和组分；</w:t>
      </w:r>
      <w:r>
        <w:rPr>
          <w:rFonts w:hint="default" w:ascii="Times New Roman" w:hAnsi="Times New Roman" w:cs="Times New Roman"/>
          <w:kern w:val="0"/>
          <w:sz w:val="24"/>
        </w:rPr>
        <w:t>H</w:t>
      </w:r>
      <w:r>
        <w:rPr>
          <w:rFonts w:hint="default" w:ascii="Times New Roman" w:hAnsi="Times New Roman" w:cs="Times New Roman"/>
          <w:kern w:val="0"/>
          <w:sz w:val="24"/>
          <w:vertAlign w:val="subscript"/>
        </w:rPr>
        <w:t>2</w:t>
      </w:r>
      <w:r>
        <w:rPr>
          <w:rFonts w:hint="default" w:ascii="Times New Roman" w:hAnsi="Times New Roman" w:cs="Times New Roman"/>
          <w:kern w:val="0"/>
          <w:sz w:val="24"/>
        </w:rPr>
        <w:t>S气体去全厂硫磺回收装置生产硫磺；</w:t>
      </w:r>
      <w:r>
        <w:rPr>
          <w:rFonts w:hint="default" w:ascii="Times New Roman" w:hAnsi="Times New Roman" w:cs="Times New Roman"/>
          <w:kern w:val="0"/>
          <w:sz w:val="24"/>
          <w:lang w:val="zh-CN"/>
        </w:rPr>
        <w:t>低分气去PSA装置制氢和提纯；干气脱硫后去燃料气管网作燃料。</w:t>
      </w:r>
    </w:p>
    <w:p>
      <w:pPr>
        <w:keepNext w:val="0"/>
        <w:keepLines w:val="0"/>
        <w:pageBreakBefore w:val="0"/>
        <w:widowControl w:val="0"/>
        <w:kinsoku/>
        <w:wordWrap/>
        <w:overflowPunct/>
        <w:topLinePunct w:val="0"/>
        <w:bidi w:val="0"/>
        <w:spacing w:line="500" w:lineRule="exact"/>
        <w:ind w:left="0"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（1）主要工艺技术特点</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采用抚顺石化研究院MCI中压加氢技术，精制剂采用FH-98，改质剂采用3963，降凝催化剂采用FC-20；</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加氢装置反应部分采用冷高分流程；</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加氢装置分馏部分采用双塔汽提流程，产品分馏塔采用蒸汽汽提；</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采用高压空冷器前注水；</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采用双壳程换热器，提高换热效率，减少换热面积，节省投资；</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反应器入口温度通过加热炉燃料量控制，床层温度通过急冷氢量来控制；</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采用炉前混氢方案，提高换热器效率和减缓结焦程度；</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采用催化剂器外再生。</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（2）工艺流程</w:t>
      </w:r>
    </w:p>
    <w:p>
      <w:pPr>
        <w:keepNext w:val="0"/>
        <w:keepLines w:val="0"/>
        <w:pageBreakBefore w:val="0"/>
        <w:widowControl w:val="0"/>
        <w:kinsoku/>
        <w:wordWrap/>
        <w:overflowPunct/>
        <w:topLinePunct w:val="0"/>
        <w:autoSpaceDE w:val="0"/>
        <w:autoSpaceDN w:val="0"/>
        <w:bidi w:val="0"/>
        <w:spacing w:line="500" w:lineRule="exact"/>
        <w:ind w:left="0" w:firstLine="512" w:firstLineChars="200"/>
        <w:jc w:val="left"/>
        <w:textAlignment w:val="auto"/>
        <w:rPr>
          <w:rFonts w:hint="default" w:ascii="Times New Roman" w:hAnsi="Times New Roman" w:cs="Times New Roman"/>
          <w:b/>
          <w:kern w:val="0"/>
          <w:sz w:val="24"/>
        </w:rPr>
      </w:pPr>
      <w:r>
        <w:rPr>
          <w:rFonts w:hint="default" w:ascii="Times New Roman" w:hAnsi="Times New Roman" w:cs="Times New Roman"/>
          <w:b/>
          <w:kern w:val="0"/>
          <w:sz w:val="24"/>
        </w:rPr>
        <w:t>反应部分：</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原料油自装置外来，进入原料油罐，经过滤后进入滤后原料油缓冲罐，再由反应进料泵抽出升压后，先与氢气混合，再与加氢反应产物进行换热，然后经加热炉加热至要求温度，然后经加热炉加热至要求温度，自上而下先后流经加氢精制反应器和加氢改质反应器。在整个应器中，原料油和氢气在催化剂作用下，进行加氢脱硫、脱氮、脱氧、烯烃饱和、芳烃饱和及部分裂化等反应。</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从加氢改质反应器出来的反应产物与混氢原料油换热后，再进入反应产物空冷器，冷却至50℃左右进入高压分离器，进行油、水和汽三相分离。为了防止加氢反应生成的硫化氢和氨在低温下生成铵盐，堵塞空冷器，在空冷器前注入洗涤水。高压分离器顶含氢气体经循环氢压缩机升压后，与新氢混合，返回到反应系统。为保证必要的氢浓度，根据需要在高分顶可以排放一定量的尾氢至氢气提纯装置。</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从高压分离器下部出来的液体减压后进到低压分离器中，继续进行油、水、汽三相分离。油相去汽提部分。</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从高压分离器及低压分离器底部出来的含硫、含铵污水经减压稳定后，送至酸性水汽提装置处理。</w:t>
      </w:r>
    </w:p>
    <w:p>
      <w:pPr>
        <w:keepNext w:val="0"/>
        <w:keepLines w:val="0"/>
        <w:pageBreakBefore w:val="0"/>
        <w:widowControl w:val="0"/>
        <w:kinsoku/>
        <w:wordWrap/>
        <w:overflowPunct/>
        <w:topLinePunct w:val="0"/>
        <w:autoSpaceDE w:val="0"/>
        <w:autoSpaceDN w:val="0"/>
        <w:bidi w:val="0"/>
        <w:spacing w:line="500" w:lineRule="exact"/>
        <w:ind w:left="0" w:firstLine="512" w:firstLineChars="200"/>
        <w:jc w:val="left"/>
        <w:textAlignment w:val="auto"/>
        <w:rPr>
          <w:rFonts w:hint="default" w:ascii="Times New Roman" w:hAnsi="Times New Roman" w:cs="Times New Roman"/>
          <w:b/>
          <w:kern w:val="0"/>
          <w:sz w:val="24"/>
        </w:rPr>
      </w:pPr>
      <w:r>
        <w:rPr>
          <w:rFonts w:hint="default" w:ascii="Times New Roman" w:hAnsi="Times New Roman" w:cs="Times New Roman"/>
          <w:b/>
          <w:kern w:val="0"/>
          <w:sz w:val="24"/>
        </w:rPr>
        <w:t>分馏部分：</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低分油经换热升温后进入硫化氢汽提塔。塔顶油气经塔顶空冷器冷却后进入塔顶回流罐进行油、气、水三相分离，回流罐中气体至干气脱硫塔脱硫，水相至酸性水汽提装置，油相经塔顶回流泵升压后，全部作为塔的回流。硫化氢汽提塔采用水蒸汽汽提，塔底物料与改质柴油换热后进分馏塔。</w:t>
      </w:r>
    </w:p>
    <w:p>
      <w:pPr>
        <w:keepNext w:val="0"/>
        <w:keepLines w:val="0"/>
        <w:pageBreakBefore w:val="0"/>
        <w:widowControl w:val="0"/>
        <w:kinsoku/>
        <w:wordWrap/>
        <w:overflowPunct/>
        <w:topLinePunct w:val="0"/>
        <w:bidi w:val="0"/>
        <w:snapToGrid w:val="0"/>
        <w:spacing w:line="500" w:lineRule="exact"/>
        <w:ind w:left="0"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分馏塔顶气体经塔顶空冷器、后冷器冷却后进入塔顶回流罐，回流罐油相经分馏塔顶回流泵升压后，一部分作为分馏塔的回流，另一部分作为石脑油产品出装置。分馏塔底油先后与硫化氢汽提塔底油、低分油换热，然后经空冷器冷却至50℃送出装置。</w:t>
      </w:r>
    </w:p>
    <w:p>
      <w:pPr>
        <w:pStyle w:val="39"/>
        <w:keepNext w:val="0"/>
        <w:keepLines w:val="0"/>
        <w:pageBreakBefore w:val="0"/>
        <w:widowControl w:val="0"/>
        <w:kinsoku/>
        <w:wordWrap/>
        <w:overflowPunct/>
        <w:topLinePunct w:val="0"/>
        <w:bidi w:val="0"/>
        <w:spacing w:line="500" w:lineRule="exact"/>
        <w:ind w:left="0" w:firstLine="51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（3）装置主要操作条件</w:t>
      </w:r>
    </w:p>
    <w:p>
      <w:pPr>
        <w:pStyle w:val="39"/>
        <w:keepNext w:val="0"/>
        <w:keepLines w:val="0"/>
        <w:pageBreakBefore w:val="0"/>
        <w:widowControl w:val="0"/>
        <w:kinsoku/>
        <w:wordWrap/>
        <w:overflowPunct/>
        <w:topLinePunct w:val="0"/>
        <w:bidi w:val="0"/>
        <w:spacing w:line="500" w:lineRule="exact"/>
        <w:ind w:left="0" w:firstLine="51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本装置主要操作条件见表</w:t>
      </w:r>
      <w:r>
        <w:rPr>
          <w:rFonts w:hint="default" w:ascii="Times New Roman" w:hAnsi="Times New Roman" w:cs="Times New Roman" w:eastAsiaTheme="minorEastAsia"/>
          <w:lang w:val="en-US" w:eastAsia="zh-CN"/>
        </w:rPr>
        <w:t>3.</w:t>
      </w:r>
      <w:r>
        <w:rPr>
          <w:rFonts w:hint="eastAsia" w:ascii="Times New Roman" w:hAnsi="Times New Roman" w:cs="Times New Roman" w:eastAsiaTheme="minorEastAsia"/>
          <w:lang w:val="en-US" w:eastAsia="zh-CN"/>
        </w:rPr>
        <w:t>1.2</w:t>
      </w:r>
      <w:r>
        <w:rPr>
          <w:rFonts w:hint="default" w:ascii="Times New Roman" w:hAnsi="Times New Roman" w:cs="Times New Roman" w:eastAsiaTheme="minorEastAsia"/>
          <w:lang w:val="en-US" w:eastAsia="zh-CN"/>
        </w:rPr>
        <w:t>-16</w:t>
      </w:r>
      <w:r>
        <w:rPr>
          <w:rFonts w:hint="default" w:ascii="Times New Roman" w:hAnsi="Times New Roman" w:cs="Times New Roman" w:eastAsiaTheme="minorEastAsia"/>
        </w:rPr>
        <w:t>～</w:t>
      </w:r>
      <w:r>
        <w:rPr>
          <w:rFonts w:hint="default" w:ascii="Times New Roman" w:hAnsi="Times New Roman" w:cs="Times New Roman" w:eastAsiaTheme="minorEastAsia"/>
          <w:lang w:val="en-US" w:eastAsia="zh-CN"/>
        </w:rPr>
        <w:t>3.</w:t>
      </w:r>
      <w:r>
        <w:rPr>
          <w:rFonts w:hint="eastAsia" w:ascii="Times New Roman" w:hAnsi="Times New Roman" w:cs="Times New Roman" w:eastAsiaTheme="minorEastAsia"/>
          <w:lang w:val="en-US" w:eastAsia="zh-CN"/>
        </w:rPr>
        <w:t>1.2</w:t>
      </w:r>
      <w:r>
        <w:rPr>
          <w:rFonts w:hint="default" w:ascii="Times New Roman" w:hAnsi="Times New Roman" w:cs="Times New Roman" w:eastAsiaTheme="minorEastAsia"/>
          <w:lang w:val="en-US" w:eastAsia="zh-CN"/>
        </w:rPr>
        <w:t>-17</w:t>
      </w:r>
      <w:r>
        <w:rPr>
          <w:rFonts w:hint="default" w:ascii="Times New Roman" w:hAnsi="Times New Roman" w:cs="Times New Roman" w:eastAsiaTheme="minorEastAsia"/>
        </w:rPr>
        <w:t>。</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cs="Times New Roman"/>
          <w:b/>
          <w:sz w:val="22"/>
        </w:rPr>
      </w:pPr>
      <w:r>
        <w:rPr>
          <w:rFonts w:hint="default" w:ascii="Times New Roman" w:hAnsi="Times New Roman" w:cs="Times New Roman"/>
          <w:b/>
          <w:sz w:val="22"/>
        </w:rPr>
        <w:t>表</w:t>
      </w:r>
      <w:r>
        <w:rPr>
          <w:rFonts w:hint="default" w:ascii="Times New Roman" w:hAnsi="Times New Roman" w:cs="Times New Roman"/>
          <w:b/>
          <w:sz w:val="22"/>
          <w:lang w:val="en-US" w:eastAsia="zh-CN"/>
        </w:rPr>
        <w:t>3.</w:t>
      </w:r>
      <w:r>
        <w:rPr>
          <w:rFonts w:hint="eastAsia" w:ascii="Times New Roman" w:hAnsi="Times New Roman" w:cs="Times New Roman"/>
          <w:b/>
          <w:sz w:val="22"/>
          <w:lang w:val="en-US" w:eastAsia="zh-CN"/>
        </w:rPr>
        <w:t>1.2</w:t>
      </w:r>
      <w:r>
        <w:rPr>
          <w:rFonts w:hint="default" w:ascii="Times New Roman" w:hAnsi="Times New Roman" w:cs="Times New Roman"/>
          <w:b/>
          <w:sz w:val="22"/>
          <w:lang w:val="en-US" w:eastAsia="zh-CN"/>
        </w:rPr>
        <w:t xml:space="preserve">-16  </w:t>
      </w:r>
      <w:r>
        <w:rPr>
          <w:rFonts w:hint="default" w:ascii="Times New Roman" w:hAnsi="Times New Roman" w:cs="Times New Roman"/>
          <w:b/>
          <w:sz w:val="22"/>
        </w:rPr>
        <w:t xml:space="preserve"> 反应部分操作条件表（冬季工况）</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2753"/>
        <w:gridCol w:w="2887"/>
        <w:gridCol w:w="2826"/>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626"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序号</w:t>
            </w:r>
          </w:p>
        </w:tc>
        <w:tc>
          <w:tcPr>
            <w:tcW w:w="1705"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w:t>
            </w:r>
          </w:p>
        </w:tc>
        <w:tc>
          <w:tcPr>
            <w:tcW w:w="166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参数</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626"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1705"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入口氢分压，MPa</w:t>
            </w:r>
          </w:p>
        </w:tc>
        <w:tc>
          <w:tcPr>
            <w:tcW w:w="166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626"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1705"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精制反应器</w:t>
            </w:r>
          </w:p>
        </w:tc>
        <w:tc>
          <w:tcPr>
            <w:tcW w:w="166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626"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2.1</w:t>
            </w:r>
          </w:p>
        </w:tc>
        <w:tc>
          <w:tcPr>
            <w:tcW w:w="1705"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入口氢油比，Nm3/m3</w:t>
            </w:r>
          </w:p>
        </w:tc>
        <w:tc>
          <w:tcPr>
            <w:tcW w:w="166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600：1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626"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2.2</w:t>
            </w:r>
          </w:p>
        </w:tc>
        <w:tc>
          <w:tcPr>
            <w:tcW w:w="1705"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反应器平均温度，℃</w:t>
            </w:r>
          </w:p>
        </w:tc>
        <w:tc>
          <w:tcPr>
            <w:tcW w:w="166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355/376（初期/末期）</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626"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2.3</w:t>
            </w:r>
          </w:p>
        </w:tc>
        <w:tc>
          <w:tcPr>
            <w:tcW w:w="1705"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精制段体积空速，h-1</w:t>
            </w:r>
          </w:p>
        </w:tc>
        <w:tc>
          <w:tcPr>
            <w:tcW w:w="166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626"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1705"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改质反应器</w:t>
            </w:r>
          </w:p>
        </w:tc>
        <w:tc>
          <w:tcPr>
            <w:tcW w:w="166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626"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3.1</w:t>
            </w:r>
          </w:p>
        </w:tc>
        <w:tc>
          <w:tcPr>
            <w:tcW w:w="1705"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反应器平均温度，℃</w:t>
            </w:r>
          </w:p>
        </w:tc>
        <w:tc>
          <w:tcPr>
            <w:tcW w:w="166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369/392（初期/末期）</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626"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3.2</w:t>
            </w:r>
          </w:p>
        </w:tc>
        <w:tc>
          <w:tcPr>
            <w:tcW w:w="1705"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改质段体积空速，h-1</w:t>
            </w:r>
          </w:p>
        </w:tc>
        <w:tc>
          <w:tcPr>
            <w:tcW w:w="1669" w:type="pct"/>
            <w:tcBorders>
              <w:tl2br w:val="nil"/>
              <w:tr2bl w:val="nil"/>
            </w:tcBorders>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w:t>
            </w:r>
          </w:p>
        </w:tc>
      </w:tr>
    </w:tbl>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asciiTheme="minorEastAsia" w:hAnsiTheme="minorEastAsia"/>
          <w:b/>
          <w:sz w:val="22"/>
        </w:rPr>
      </w:pPr>
      <w:r>
        <w:rPr>
          <w:rFonts w:asciiTheme="minorEastAsia" w:hAnsiTheme="minorEastAsia"/>
          <w:b/>
          <w:sz w:val="22"/>
        </w:rPr>
        <w:t>表</w:t>
      </w:r>
      <w:r>
        <w:rPr>
          <w:rFonts w:hint="eastAsia" w:asciiTheme="minorEastAsia" w:hAnsiTheme="minorEastAsia"/>
          <w:b/>
          <w:sz w:val="22"/>
          <w:lang w:val="en-US" w:eastAsia="zh-CN"/>
        </w:rPr>
        <w:t xml:space="preserve">3.1.2-17   </w:t>
      </w:r>
      <w:r>
        <w:rPr>
          <w:rFonts w:asciiTheme="minorEastAsia" w:hAnsiTheme="minorEastAsia"/>
          <w:b/>
          <w:sz w:val="22"/>
        </w:rPr>
        <w:t>高、低压分离器及分馏塔操作条件表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2116"/>
        <w:gridCol w:w="2116"/>
        <w:gridCol w:w="2117"/>
        <w:gridCol w:w="2117"/>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499" w:type="pct"/>
            <w:gridSpan w:val="2"/>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单位</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数值</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250"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高压分离器</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温度</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250"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压力</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9.9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250"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低压分离器</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温度</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250"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压力</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250"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硫化氢汽提塔</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温度</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198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250"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0.71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250"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分馏塔</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温度</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292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1250"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1250"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0.17</w:t>
            </w:r>
          </w:p>
        </w:tc>
      </w:tr>
    </w:tbl>
    <w:p>
      <w:pPr>
        <w:pStyle w:val="39"/>
        <w:keepNext w:val="0"/>
        <w:keepLines w:val="0"/>
        <w:pageBreakBefore w:val="0"/>
        <w:widowControl w:val="0"/>
        <w:kinsoku/>
        <w:wordWrap/>
        <w:overflowPunct/>
        <w:topLinePunct w:val="0"/>
        <w:autoSpaceDE/>
        <w:autoSpaceDN/>
        <w:bidi w:val="0"/>
        <w:spacing w:line="500" w:lineRule="exact"/>
        <w:ind w:firstLine="51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（4）原料、辅助材料和产品</w:t>
      </w:r>
    </w:p>
    <w:p>
      <w:pPr>
        <w:keepNext w:val="0"/>
        <w:keepLines w:val="0"/>
        <w:pageBreakBefore w:val="0"/>
        <w:widowControl w:val="0"/>
        <w:kinsoku/>
        <w:wordWrap/>
        <w:overflowPunct/>
        <w:topLinePunct w:val="0"/>
        <w:autoSpaceDE/>
        <w:autoSpaceDN/>
        <w:bidi w:val="0"/>
        <w:snapToGrid w:val="0"/>
        <w:spacing w:line="500" w:lineRule="exact"/>
        <w:ind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装置以冷、热催化柴油的混合油为原料，新氢由制氢装置提供，其进装置的边界条件为：温度40℃，压力2.3MPa。</w:t>
      </w:r>
    </w:p>
    <w:p>
      <w:pPr>
        <w:keepNext w:val="0"/>
        <w:keepLines w:val="0"/>
        <w:pageBreakBefore w:val="0"/>
        <w:widowControl w:val="0"/>
        <w:kinsoku/>
        <w:wordWrap/>
        <w:overflowPunct/>
        <w:topLinePunct w:val="0"/>
        <w:autoSpaceDE/>
        <w:autoSpaceDN/>
        <w:bidi w:val="0"/>
        <w:snapToGrid w:val="0"/>
        <w:spacing w:line="500" w:lineRule="exact"/>
        <w:ind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装置使用保护剂、催化剂、化学药剂等辅助材料，</w:t>
      </w:r>
    </w:p>
    <w:p>
      <w:pPr>
        <w:keepNext w:val="0"/>
        <w:keepLines w:val="0"/>
        <w:pageBreakBefore w:val="0"/>
        <w:widowControl w:val="0"/>
        <w:kinsoku/>
        <w:wordWrap/>
        <w:overflowPunct/>
        <w:topLinePunct w:val="0"/>
        <w:autoSpaceDE/>
        <w:autoSpaceDN/>
        <w:bidi w:val="0"/>
        <w:snapToGrid w:val="0"/>
        <w:spacing w:line="500" w:lineRule="exact"/>
        <w:ind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装置主要产品为精制柴油，副产品为石脑油、汽提塔顶气及低分气。</w:t>
      </w:r>
    </w:p>
    <w:p>
      <w:pPr>
        <w:keepNext w:val="0"/>
        <w:keepLines w:val="0"/>
        <w:pageBreakBefore w:val="0"/>
        <w:widowControl w:val="0"/>
        <w:kinsoku/>
        <w:wordWrap/>
        <w:overflowPunct/>
        <w:topLinePunct w:val="0"/>
        <w:autoSpaceDE/>
        <w:autoSpaceDN/>
        <w:bidi w:val="0"/>
        <w:snapToGrid w:val="0"/>
        <w:spacing w:line="500" w:lineRule="exact"/>
        <w:ind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（5）装置的“三废”污染源排放</w:t>
      </w:r>
    </w:p>
    <w:p>
      <w:pPr>
        <w:keepNext w:val="0"/>
        <w:keepLines w:val="0"/>
        <w:pageBreakBefore w:val="0"/>
        <w:widowControl w:val="0"/>
        <w:kinsoku/>
        <w:wordWrap/>
        <w:overflowPunct/>
        <w:topLinePunct w:val="0"/>
        <w:autoSpaceDE/>
        <w:autoSpaceDN/>
        <w:bidi w:val="0"/>
        <w:snapToGrid w:val="0"/>
        <w:spacing w:line="500" w:lineRule="exact"/>
        <w:ind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本装置的废气主要是来自加氢反应进料加热炉的烟气G</w:t>
      </w:r>
      <w:r>
        <w:rPr>
          <w:rFonts w:hint="default" w:ascii="Times New Roman" w:hAnsi="Times New Roman" w:cs="Times New Roman"/>
          <w:kern w:val="0"/>
          <w:sz w:val="22"/>
          <w:vertAlign w:val="subscript"/>
        </w:rPr>
        <w:t>1</w:t>
      </w:r>
      <w:r>
        <w:rPr>
          <w:rFonts w:hint="default" w:ascii="Times New Roman" w:hAnsi="Times New Roman" w:cs="Times New Roman"/>
          <w:kern w:val="0"/>
          <w:sz w:val="24"/>
        </w:rPr>
        <w:t>；分馏塔加热炉产生的烟气G</w:t>
      </w:r>
      <w:r>
        <w:rPr>
          <w:rFonts w:hint="default" w:ascii="Times New Roman" w:hAnsi="Times New Roman" w:cs="Times New Roman"/>
          <w:kern w:val="0"/>
          <w:sz w:val="24"/>
          <w:vertAlign w:val="subscript"/>
        </w:rPr>
        <w:t>2</w:t>
      </w:r>
      <w:r>
        <w:rPr>
          <w:rFonts w:hint="default" w:ascii="Times New Roman" w:hAnsi="Times New Roman" w:cs="Times New Roman"/>
          <w:kern w:val="0"/>
          <w:sz w:val="24"/>
        </w:rPr>
        <w:t>。经各自烟气余热回收系统后，分别汇集进入50m高烟筒排入大气。装置无组织排放的烃类气体。主要污染物为SO</w:t>
      </w:r>
      <w:r>
        <w:rPr>
          <w:rFonts w:hint="default" w:ascii="Times New Roman" w:hAnsi="Times New Roman" w:cs="Times New Roman"/>
          <w:kern w:val="0"/>
          <w:sz w:val="24"/>
          <w:vertAlign w:val="subscript"/>
        </w:rPr>
        <w:t>2</w:t>
      </w:r>
      <w:r>
        <w:rPr>
          <w:rFonts w:hint="default" w:ascii="Times New Roman" w:hAnsi="Times New Roman" w:cs="Times New Roman"/>
          <w:kern w:val="0"/>
          <w:sz w:val="24"/>
        </w:rPr>
        <w:t>、NO</w:t>
      </w:r>
      <w:r>
        <w:rPr>
          <w:rFonts w:hint="default" w:ascii="Times New Roman" w:hAnsi="Times New Roman" w:cs="Times New Roman"/>
          <w:kern w:val="0"/>
          <w:sz w:val="24"/>
          <w:vertAlign w:val="subscript"/>
        </w:rPr>
        <w:t>X</w:t>
      </w:r>
      <w:r>
        <w:rPr>
          <w:rFonts w:hint="default" w:ascii="Times New Roman" w:hAnsi="Times New Roman" w:cs="Times New Roman"/>
          <w:kern w:val="0"/>
          <w:sz w:val="24"/>
        </w:rPr>
        <w:t>、烟尘。</w:t>
      </w:r>
    </w:p>
    <w:p>
      <w:pPr>
        <w:keepNext w:val="0"/>
        <w:keepLines w:val="0"/>
        <w:pageBreakBefore w:val="0"/>
        <w:widowControl w:val="0"/>
        <w:kinsoku/>
        <w:wordWrap/>
        <w:overflowPunct/>
        <w:topLinePunct w:val="0"/>
        <w:autoSpaceDE/>
        <w:autoSpaceDN/>
        <w:bidi w:val="0"/>
        <w:snapToGrid w:val="0"/>
        <w:spacing w:line="500" w:lineRule="exact"/>
        <w:ind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本装置废水主要为部分机泵冷却水、地面冲洗水等构成的含油污水W</w:t>
      </w:r>
      <w:r>
        <w:rPr>
          <w:rFonts w:hint="default" w:ascii="Times New Roman" w:hAnsi="Times New Roman" w:cs="Times New Roman"/>
          <w:kern w:val="0"/>
          <w:sz w:val="24"/>
          <w:vertAlign w:val="subscript"/>
        </w:rPr>
        <w:t>1</w:t>
      </w:r>
      <w:r>
        <w:rPr>
          <w:rFonts w:hint="default" w:ascii="Times New Roman" w:hAnsi="Times New Roman" w:cs="Times New Roman"/>
          <w:kern w:val="0"/>
          <w:sz w:val="24"/>
        </w:rPr>
        <w:t>；高压分离器、汽提塔顶回流罐等排出的含硫污水W</w:t>
      </w:r>
      <w:r>
        <w:rPr>
          <w:rFonts w:hint="default" w:ascii="Times New Roman" w:hAnsi="Times New Roman" w:cs="Times New Roman"/>
          <w:kern w:val="0"/>
          <w:sz w:val="24"/>
          <w:vertAlign w:val="subscript"/>
        </w:rPr>
        <w:t>2</w:t>
      </w:r>
      <w:r>
        <w:rPr>
          <w:rFonts w:hint="default" w:ascii="Times New Roman" w:hAnsi="Times New Roman" w:cs="Times New Roman"/>
          <w:kern w:val="0"/>
          <w:sz w:val="24"/>
        </w:rPr>
        <w:t>；生活污水等。</w:t>
      </w:r>
    </w:p>
    <w:p>
      <w:pPr>
        <w:keepNext w:val="0"/>
        <w:keepLines w:val="0"/>
        <w:pageBreakBefore w:val="0"/>
        <w:widowControl w:val="0"/>
        <w:kinsoku/>
        <w:wordWrap/>
        <w:overflowPunct/>
        <w:topLinePunct w:val="0"/>
        <w:autoSpaceDE/>
        <w:autoSpaceDN/>
        <w:bidi w:val="0"/>
        <w:snapToGrid w:val="0"/>
        <w:spacing w:line="500" w:lineRule="exact"/>
        <w:ind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本装置废渣主要是加氢反应器产生的废催化剂S</w:t>
      </w:r>
      <w:r>
        <w:rPr>
          <w:rFonts w:hint="default" w:ascii="Times New Roman" w:hAnsi="Times New Roman" w:cs="Times New Roman"/>
          <w:kern w:val="0"/>
          <w:sz w:val="24"/>
          <w:vertAlign w:val="subscript"/>
        </w:rPr>
        <w:t>1</w:t>
      </w:r>
      <w:r>
        <w:rPr>
          <w:rFonts w:hint="default" w:ascii="Times New Roman" w:hAnsi="Times New Roman" w:cs="Times New Roman"/>
          <w:kern w:val="0"/>
          <w:sz w:val="24"/>
        </w:rPr>
        <w:t>、废瓷球S</w:t>
      </w:r>
      <w:r>
        <w:rPr>
          <w:rFonts w:hint="default" w:ascii="Times New Roman" w:hAnsi="Times New Roman" w:cs="Times New Roman"/>
          <w:kern w:val="0"/>
          <w:sz w:val="24"/>
          <w:vertAlign w:val="subscript"/>
        </w:rPr>
        <w:t>2</w:t>
      </w:r>
      <w:r>
        <w:rPr>
          <w:rFonts w:hint="default" w:ascii="Times New Roman" w:hAnsi="Times New Roman" w:cs="Times New Roman"/>
          <w:kern w:val="0"/>
          <w:sz w:val="24"/>
        </w:rPr>
        <w:t>、废加氢保护剂S</w:t>
      </w:r>
      <w:r>
        <w:rPr>
          <w:rFonts w:hint="default" w:ascii="Times New Roman" w:hAnsi="Times New Roman" w:cs="Times New Roman"/>
          <w:kern w:val="0"/>
          <w:sz w:val="24"/>
          <w:vertAlign w:val="subscript"/>
        </w:rPr>
        <w:t>3</w:t>
      </w:r>
      <w:r>
        <w:rPr>
          <w:rFonts w:hint="default" w:ascii="Times New Roman" w:hAnsi="Times New Roman" w:cs="Times New Roman"/>
          <w:kern w:val="0"/>
          <w:sz w:val="24"/>
        </w:rPr>
        <w:t>等。</w:t>
      </w:r>
    </w:p>
    <w:p>
      <w:pPr>
        <w:keepNext w:val="0"/>
        <w:keepLines w:val="0"/>
        <w:pageBreakBefore w:val="0"/>
        <w:widowControl w:val="0"/>
        <w:kinsoku/>
        <w:wordWrap/>
        <w:overflowPunct/>
        <w:topLinePunct w:val="0"/>
        <w:autoSpaceDE/>
        <w:autoSpaceDN/>
        <w:bidi w:val="0"/>
        <w:spacing w:line="50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工艺流程见图</w:t>
      </w:r>
      <w:r>
        <w:rPr>
          <w:rFonts w:hint="default" w:ascii="Times New Roman" w:hAnsi="Times New Roman" w:cs="Times New Roman"/>
          <w:sz w:val="24"/>
          <w:lang w:val="en-US" w:eastAsia="zh-CN"/>
        </w:rPr>
        <w:t>3.</w:t>
      </w:r>
      <w:r>
        <w:rPr>
          <w:rFonts w:hint="eastAsia" w:ascii="Times New Roman" w:hAnsi="Times New Roman" w:cs="Times New Roman"/>
          <w:sz w:val="24"/>
          <w:lang w:val="en-US" w:eastAsia="zh-CN"/>
        </w:rPr>
        <w:t>1.2</w:t>
      </w:r>
      <w:r>
        <w:rPr>
          <w:rFonts w:hint="default" w:ascii="Times New Roman" w:hAnsi="Times New Roman" w:cs="Times New Roman"/>
          <w:sz w:val="24"/>
          <w:lang w:val="en-US" w:eastAsia="zh-CN"/>
        </w:rPr>
        <w:t>-10</w:t>
      </w:r>
      <w:r>
        <w:rPr>
          <w:rFonts w:hint="default" w:ascii="Times New Roman" w:hAnsi="Times New Roman" w:cs="Times New Roman"/>
          <w:sz w:val="24"/>
        </w:rPr>
        <w:t>。</w:t>
      </w:r>
    </w:p>
    <w:p>
      <w:pPr>
        <w:keepNext/>
        <w:spacing w:line="312" w:lineRule="auto"/>
        <w:jc w:val="center"/>
        <w:rPr>
          <w:rFonts w:asciiTheme="minorEastAsia" w:hAnsiTheme="minorEastAsia"/>
          <w:sz w:val="24"/>
          <w:szCs w:val="20"/>
        </w:rPr>
      </w:pPr>
      <w:r>
        <w:rPr>
          <w:rFonts w:asciiTheme="minorEastAsia" w:hAnsiTheme="minorEastAsia"/>
          <w:sz w:val="24"/>
          <w:szCs w:val="20"/>
        </w:rPr>
        <w:drawing>
          <wp:inline distT="0" distB="0" distL="0" distR="0">
            <wp:extent cx="5153025" cy="2867025"/>
            <wp:effectExtent l="0" t="0" r="9525" b="9525"/>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23" cstate="print"/>
                    <a:stretch>
                      <a:fillRect/>
                    </a:stretch>
                  </pic:blipFill>
                  <pic:spPr>
                    <a:xfrm>
                      <a:off x="0" y="0"/>
                      <a:ext cx="5158732" cy="2870200"/>
                    </a:xfrm>
                    <a:prstGeom prst="rect">
                      <a:avLst/>
                    </a:prstGeom>
                  </pic:spPr>
                </pic:pic>
              </a:graphicData>
            </a:graphic>
          </wp:inline>
        </w:drawing>
      </w:r>
    </w:p>
    <w:p>
      <w:pPr>
        <w:spacing w:beforeLines="30" w:afterLines="30"/>
        <w:jc w:val="center"/>
        <w:rPr>
          <w:rFonts w:hint="default" w:ascii="Times New Roman" w:hAnsi="Times New Roman" w:cs="Times New Roman"/>
          <w:b/>
          <w:sz w:val="24"/>
          <w:szCs w:val="24"/>
        </w:rPr>
      </w:pPr>
      <w:bookmarkStart w:id="147" w:name="_Ref503180626"/>
      <w:r>
        <w:rPr>
          <w:rFonts w:hint="default" w:ascii="Times New Roman" w:hAnsi="Times New Roman" w:cs="Times New Roman"/>
          <w:b/>
          <w:sz w:val="24"/>
          <w:szCs w:val="24"/>
        </w:rPr>
        <w:t>图</w:t>
      </w:r>
      <w:bookmarkEnd w:id="147"/>
      <w:r>
        <w:rPr>
          <w:rFonts w:hint="default" w:ascii="Times New Roman" w:hAnsi="Times New Roman" w:cs="Times New Roman"/>
          <w:b/>
          <w:sz w:val="24"/>
          <w:szCs w:val="24"/>
          <w:lang w:val="en-US" w:eastAsia="zh-CN"/>
        </w:rPr>
        <w:t>3.</w:t>
      </w:r>
      <w:r>
        <w:rPr>
          <w:rFonts w:hint="eastAsia" w:ascii="Times New Roman" w:hAnsi="Times New Roman" w:cs="Times New Roman"/>
          <w:b/>
          <w:sz w:val="24"/>
          <w:szCs w:val="24"/>
          <w:lang w:val="en-US" w:eastAsia="zh-CN"/>
        </w:rPr>
        <w:t>1.2</w:t>
      </w:r>
      <w:r>
        <w:rPr>
          <w:rFonts w:hint="default" w:ascii="Times New Roman" w:hAnsi="Times New Roman" w:cs="Times New Roman"/>
          <w:b/>
          <w:sz w:val="24"/>
          <w:szCs w:val="24"/>
          <w:lang w:val="en-US" w:eastAsia="zh-CN"/>
        </w:rPr>
        <w:t xml:space="preserve">-10  </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zh-CN"/>
        </w:rPr>
        <w:t>柴油加氢改质降凝装置工艺流程</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rPr>
      </w:pPr>
      <w:r>
        <w:rPr>
          <w:rFonts w:hint="default" w:ascii="Times New Roman" w:hAnsi="Times New Roman" w:cs="Times New Roman"/>
          <w:b/>
          <w:sz w:val="24"/>
        </w:rPr>
        <w:t>5、煤柴油加氢精制装置</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kern w:val="0"/>
          <w:sz w:val="24"/>
          <w:lang w:val="zh-CN"/>
        </w:rPr>
        <w:t>本装置的加工原料为来自常压蒸馏装置的常二、常三线</w:t>
      </w:r>
      <w:r>
        <w:rPr>
          <w:rFonts w:hint="default" w:ascii="Times New Roman" w:hAnsi="Times New Roman" w:cs="Times New Roman"/>
          <w:kern w:val="0"/>
          <w:sz w:val="24"/>
        </w:rPr>
        <w:t>直馏柴油，</w:t>
      </w:r>
      <w:r>
        <w:rPr>
          <w:rFonts w:hint="default" w:ascii="Times New Roman" w:hAnsi="Times New Roman" w:cs="Times New Roman"/>
          <w:sz w:val="24"/>
        </w:rPr>
        <w:t>经过加氢精制工艺生产柴油调和组分，经与其它柴油组分调和后生产满足国Ⅲ和国Ⅳ质量标准的柴油产品，副产的精制石脑油与直馏石脑油和改质石脑油混合作为连续重整单元石脑油预处理装置的原料。</w:t>
      </w:r>
      <w:r>
        <w:rPr>
          <w:rFonts w:hint="default" w:ascii="Times New Roman" w:hAnsi="Times New Roman" w:cs="Times New Roman"/>
          <w:kern w:val="0"/>
          <w:sz w:val="24"/>
        </w:rPr>
        <w:t>直馏煤油进煤柴油加氢精制装置煤油部分加工，生产质量满足GB6537-2006标准的3#喷气燃料，满足市场需求后，部分精制航煤也可作为柴油调和组分。</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kern w:val="0"/>
          <w:sz w:val="24"/>
        </w:rPr>
      </w:pPr>
      <w:r>
        <w:rPr>
          <w:rFonts w:hint="default" w:ascii="Times New Roman" w:hAnsi="Times New Roman" w:cs="Times New Roman"/>
          <w:kern w:val="0"/>
          <w:sz w:val="24"/>
        </w:rPr>
        <w:t>装置</w:t>
      </w:r>
      <w:r>
        <w:rPr>
          <w:rFonts w:hint="default" w:ascii="Times New Roman" w:hAnsi="Times New Roman" w:cs="Times New Roman"/>
          <w:kern w:val="0"/>
          <w:sz w:val="24"/>
          <w:lang w:val="zh-CN"/>
        </w:rPr>
        <w:t>实际建设规模为170万吨/年，其中煤油加氢装置规模为30万吨</w:t>
      </w:r>
      <w:r>
        <w:rPr>
          <w:rFonts w:hint="default" w:ascii="Times New Roman" w:hAnsi="Times New Roman" w:cs="Times New Roman"/>
          <w:kern w:val="0"/>
          <w:sz w:val="24"/>
        </w:rPr>
        <w:t>/年。年开工时间8400小时。装置由反应部分（包括新氢压缩机、循环氢压缩机）和分馏部分组成。</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kern w:val="0"/>
          <w:sz w:val="24"/>
          <w:lang w:val="zh-CN"/>
        </w:rPr>
      </w:pPr>
      <w:r>
        <w:rPr>
          <w:rFonts w:hint="default" w:ascii="Times New Roman" w:hAnsi="Times New Roman" w:cs="Times New Roman"/>
          <w:kern w:val="0"/>
          <w:sz w:val="24"/>
          <w:lang w:val="zh-CN"/>
        </w:rPr>
        <w:t>装置的主要产品为</w:t>
      </w:r>
      <w:r>
        <w:rPr>
          <w:rFonts w:hint="default" w:ascii="Times New Roman" w:hAnsi="Times New Roman" w:cs="Times New Roman"/>
          <w:kern w:val="0"/>
          <w:sz w:val="24"/>
        </w:rPr>
        <w:t>：H</w:t>
      </w:r>
      <w:r>
        <w:rPr>
          <w:rFonts w:hint="default" w:ascii="Times New Roman" w:hAnsi="Times New Roman" w:cs="Times New Roman"/>
          <w:kern w:val="0"/>
          <w:sz w:val="24"/>
          <w:vertAlign w:val="subscript"/>
        </w:rPr>
        <w:t>2</w:t>
      </w:r>
      <w:r>
        <w:rPr>
          <w:rFonts w:hint="default" w:ascii="Times New Roman" w:hAnsi="Times New Roman" w:cs="Times New Roman"/>
          <w:kern w:val="0"/>
          <w:sz w:val="24"/>
        </w:rPr>
        <w:t>S、低分气、干气、精制石脑油、精制柴油。</w:t>
      </w:r>
      <w:r>
        <w:rPr>
          <w:rFonts w:hint="default" w:ascii="Times New Roman" w:hAnsi="Times New Roman" w:cs="Times New Roman"/>
          <w:kern w:val="0"/>
          <w:sz w:val="24"/>
          <w:lang w:val="zh-CN"/>
        </w:rPr>
        <w:t>其中</w:t>
      </w:r>
      <w:r>
        <w:rPr>
          <w:rFonts w:hint="default" w:ascii="Times New Roman" w:hAnsi="Times New Roman" w:cs="Times New Roman"/>
          <w:kern w:val="0"/>
          <w:sz w:val="24"/>
        </w:rPr>
        <w:t>H</w:t>
      </w:r>
      <w:r>
        <w:rPr>
          <w:rFonts w:hint="default" w:ascii="Times New Roman" w:hAnsi="Times New Roman" w:cs="Times New Roman"/>
          <w:kern w:val="0"/>
          <w:sz w:val="24"/>
          <w:vertAlign w:val="subscript"/>
        </w:rPr>
        <w:t>2</w:t>
      </w:r>
      <w:r>
        <w:rPr>
          <w:rFonts w:hint="default" w:ascii="Times New Roman" w:hAnsi="Times New Roman" w:cs="Times New Roman"/>
          <w:kern w:val="0"/>
          <w:sz w:val="24"/>
        </w:rPr>
        <w:t>S气体去全厂硫磺回收装置生产硫磺；精制</w:t>
      </w:r>
      <w:r>
        <w:rPr>
          <w:rFonts w:hint="default" w:ascii="Times New Roman" w:hAnsi="Times New Roman" w:cs="Times New Roman"/>
          <w:kern w:val="0"/>
          <w:sz w:val="24"/>
          <w:lang w:val="zh-CN"/>
        </w:rPr>
        <w:t>石脑油送至</w:t>
      </w:r>
      <w:r>
        <w:rPr>
          <w:rFonts w:hint="default" w:ascii="Times New Roman" w:hAnsi="Times New Roman" w:cs="Times New Roman"/>
          <w:sz w:val="24"/>
        </w:rPr>
        <w:t>连续重整单元石脑油预处理装置作原料；</w:t>
      </w:r>
      <w:r>
        <w:rPr>
          <w:rFonts w:hint="default" w:ascii="Times New Roman" w:hAnsi="Times New Roman" w:cs="Times New Roman"/>
          <w:kern w:val="0"/>
          <w:sz w:val="24"/>
          <w:lang w:val="zh-CN"/>
        </w:rPr>
        <w:t>精制柴油做柴油产品调和组分；低分气去PSA装置制氢和提纯；干气脱硫后去燃料气管网作燃料。航煤做为产品外售。</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（1）主要工艺技术特点</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采用抚顺石化研究院中压加氢技术，精制剂FH-98；</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加氢装置反应部分采用冷高分流程；</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加氢装置分馏部分采用双塔汽提流程，产品分馏塔采用蒸汽汽提；</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采用高压空冷器前注水；</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采用双壳程换热器，提高换热效率，减少换热面积，节省投资；</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采用优工艺流程化、应用高效换热设备和新型内构件等综合节能技术；</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采用炉前混氢方案，提高换热器效率和减缓结焦程度；</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采用催化剂湿法硫化、器外再生。</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（2）工艺流程</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①柴油加氢精制</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反应部分：</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原料油自装置外来，进入原料油罐，经过滤后进入滤后原料油缓冲罐，再由反应进料泵抽出升压后，先与氢气混合，再与加氢精制反应产物进行换热，然后经加热炉加热至要求温度，自上而下流经加氢精制反应器。在反应器中，原料油和氢气在催化剂作用下，进行加氢脱硫、脱氮、烯烃饱和等精制反应。</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从加氢精制反应器出来的反应产物与混氢原料油换热后，再进入反应产物空冷器，冷却至50℃左右进入高压分离器进行油,水，汽三相分离。为了防止加氢反应生成的硫化氢和氨在低温下生成铵盐，堵塞空冷器,在空冷器前注入洗涤水。高压分离器顶气体经循环氢压缩机升压后，与新氢混合，返回到反应系统。为保证必要的氢浓度，根据需要在高分顶排放一定量的尾氢。</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从高压分离器下部出来的液体减压后进到低压分离器中，继续进行油、水、汽三相分离。油相去汽提部分。</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从高压分离器及低压分离器底部出来的含硫、含铵污水经减压后，送至酸性水汽提装置处理。</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分馏部分：</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低分油经换热后进入硫化氢汽提塔。塔顶油气经塔顶空冷器、后冷器冷却后进入塔顶回流罐进行油、气、水三相分离，回流罐中气体至干气脱硫塔脱硫，水相至酸性水汽提装置，油相经塔顶回流泵升压后，全部作为塔的回流。硫化氢汽提塔采用水蒸汽汽提，塔底物料与精制柴油换热后进分馏塔。</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分馏塔顶气体经塔顶空冷器、后冷器冷却后进入塔顶回流罐，回流罐油相经分馏塔顶回流泵升压后，一部分作为分馏塔的回流，另一部分作为石脑油产品出装置。分馏塔底油先后与硫化氢汽提塔底油、低分油换热，然后经空冷器冷却至40℃送出装置。</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②煤油加氢精制</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cs="Times New Roman" w:eastAsiaTheme="minorEastAsia"/>
          <w:b/>
        </w:rPr>
      </w:pPr>
      <w:r>
        <w:rPr>
          <w:rFonts w:hint="default" w:ascii="Times New Roman" w:hAnsi="Times New Roman" w:cs="Times New Roman" w:eastAsiaTheme="minorEastAsia"/>
          <w:b/>
        </w:rPr>
        <w:t>煤油加氢反应部分</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直馏航煤自装置外来，经煤油加氢原料油过滤器、煤油加氢原料油脱水器进行过滤、脱水，除去原料中大于25μm的杂质和原料油中的水后进入煤油加氢原料油缓冲罐，再经煤油加氢反应进料泵升压后，与混合氢混合作为混合进料。</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混合进料经煤油加氢反应产物/混氢油换热器换热后，进入煤油加氢反应进料加热炉加热至反应所需温度，再进入煤油加氢精制反应器，在催化剂作用下进行脱硫、脱硫醇、脱酸等反应。</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来自煤油加氢精制反应器的反应产物，经煤油加氢反应产物/混氢油换热器换热，再经煤油加氢反应产物空冷器冷却后，进入煤油加氢低压分离器进行气、液分离。顶部出来的气体（循环氢）与重整氢（新氢）混合，再经煤油加氢循环氢压缩机入口分液罐分液后，进入煤油加氢循环氢压缩机升压至2.7MPa，与原料油混合作为混合进料。煤油加氢低压分离器的液体经精制航煤/低分油换热器与精制航煤换热后进入煤油加氢分馏塔。</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b/>
        </w:rPr>
        <w:t>煤油加氢分馏部分</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从反应部分来的低分油经精制航煤/低分油换热器换热后、进入煤油加氢分馏塔第26层塔盘，煤油加氢分馏塔设有30层浮阀塔盘，塔底设有煤油加氢分馏塔底重沸器，热源由柴油加氢部分的精制柴油提供。塔顶油气经煤油加氢分馏塔顶空冷器、煤油加氢分馏塔顶后冷器冷凝冷却至40℃，进入煤油加氢分馏塔顶回流罐进行气﹑油﹑水分离。闪蒸出的气体送至常压蒸馏装置与直馏干气一起升压后送去脱硫。回流罐液相经煤油加氢分馏塔顶回流泵升压后，一部分作为分馏塔的回流，另一部分与柴油加氢部分石脑油产品合并后送出装置。</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为抑制硫化氢对塔顶管道和冷换设备的腐蚀，在塔顶管道注入缓蚀剂。</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塔底精制航煤经精制航煤泵升压后，依次经精制航煤/低分油换热器、精制航煤空冷器、精制航煤后冷器冷却至45℃，再经精制航煤脱硫罐、精制航煤过滤器，最后在线加入抗氧化剂后送出装置。</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（3）装置主要操作条件</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本装置主要操作条件见表</w:t>
      </w:r>
      <w:r>
        <w:rPr>
          <w:rFonts w:hint="default" w:ascii="Times New Roman" w:hAnsi="Times New Roman" w:cs="Times New Roman" w:eastAsiaTheme="minorEastAsia"/>
          <w:lang w:val="en-US" w:eastAsia="zh-CN"/>
        </w:rPr>
        <w:t>3.</w:t>
      </w:r>
      <w:r>
        <w:rPr>
          <w:rFonts w:hint="eastAsia" w:ascii="Times New Roman" w:hAnsi="Times New Roman" w:cs="Times New Roman" w:eastAsiaTheme="minorEastAsia"/>
          <w:lang w:val="en-US" w:eastAsia="zh-CN"/>
        </w:rPr>
        <w:t>1.2</w:t>
      </w:r>
      <w:r>
        <w:rPr>
          <w:rFonts w:hint="default" w:ascii="Times New Roman" w:hAnsi="Times New Roman" w:cs="Times New Roman" w:eastAsiaTheme="minorEastAsia"/>
          <w:lang w:val="en-US" w:eastAsia="zh-CN"/>
        </w:rPr>
        <w:t>-18</w:t>
      </w:r>
      <w:r>
        <w:rPr>
          <w:rFonts w:hint="default" w:ascii="Times New Roman" w:hAnsi="Times New Roman" w:cs="Times New Roman" w:eastAsiaTheme="minorEastAsia"/>
        </w:rPr>
        <w:t>～</w:t>
      </w:r>
      <w:r>
        <w:rPr>
          <w:rFonts w:hint="default" w:ascii="Times New Roman" w:hAnsi="Times New Roman" w:cs="Times New Roman" w:eastAsiaTheme="minorEastAsia"/>
          <w:lang w:val="en-US" w:eastAsia="zh-CN"/>
        </w:rPr>
        <w:t>3.</w:t>
      </w:r>
      <w:r>
        <w:rPr>
          <w:rFonts w:hint="eastAsia" w:ascii="Times New Roman" w:hAnsi="Times New Roman" w:cs="Times New Roman" w:eastAsiaTheme="minorEastAsia"/>
          <w:lang w:val="en-US" w:eastAsia="zh-CN"/>
        </w:rPr>
        <w:t>1.2</w:t>
      </w:r>
      <w:r>
        <w:rPr>
          <w:rFonts w:hint="default" w:ascii="Times New Roman" w:hAnsi="Times New Roman" w:cs="Times New Roman" w:eastAsiaTheme="minorEastAsia"/>
          <w:lang w:val="en-US" w:eastAsia="zh-CN"/>
        </w:rPr>
        <w:t>-19</w:t>
      </w:r>
      <w:r>
        <w:rPr>
          <w:rFonts w:hint="default" w:ascii="Times New Roman" w:hAnsi="Times New Roman" w:cs="Times New Roman" w:eastAsiaTheme="minorEastAsia"/>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cs="Times New Roman"/>
          <w:b/>
          <w:sz w:val="22"/>
        </w:rPr>
      </w:pPr>
      <w:r>
        <w:rPr>
          <w:rFonts w:hint="default" w:ascii="Times New Roman" w:hAnsi="Times New Roman" w:cs="Times New Roman"/>
          <w:b/>
          <w:sz w:val="22"/>
        </w:rPr>
        <w:t>表</w:t>
      </w:r>
      <w:r>
        <w:rPr>
          <w:rFonts w:hint="default" w:ascii="Times New Roman" w:hAnsi="Times New Roman" w:cs="Times New Roman"/>
          <w:b/>
          <w:sz w:val="22"/>
          <w:lang w:val="en-US" w:eastAsia="zh-CN"/>
        </w:rPr>
        <w:t>3.</w:t>
      </w:r>
      <w:r>
        <w:rPr>
          <w:rFonts w:hint="eastAsia" w:ascii="Times New Roman" w:hAnsi="Times New Roman" w:cs="Times New Roman"/>
          <w:b/>
          <w:sz w:val="22"/>
          <w:lang w:val="en-US" w:eastAsia="zh-CN"/>
        </w:rPr>
        <w:t>1.2</w:t>
      </w:r>
      <w:r>
        <w:rPr>
          <w:rFonts w:hint="default" w:ascii="Times New Roman" w:hAnsi="Times New Roman" w:cs="Times New Roman"/>
          <w:b/>
          <w:sz w:val="22"/>
          <w:lang w:val="en-US" w:eastAsia="zh-CN"/>
        </w:rPr>
        <w:t>-18</w:t>
      </w:r>
      <w:r>
        <w:rPr>
          <w:rFonts w:hint="default" w:ascii="Times New Roman" w:hAnsi="Times New Roman" w:cs="Times New Roman"/>
          <w:b/>
          <w:sz w:val="22"/>
        </w:rPr>
        <w:t xml:space="preserve"> </w:t>
      </w:r>
      <w:r>
        <w:rPr>
          <w:rFonts w:hint="default" w:ascii="Times New Roman" w:hAnsi="Times New Roman" w:cs="Times New Roman"/>
          <w:b/>
          <w:sz w:val="22"/>
          <w:lang w:val="en-US" w:eastAsia="zh-CN"/>
        </w:rPr>
        <w:t xml:space="preserve">  </w:t>
      </w:r>
      <w:r>
        <w:rPr>
          <w:rFonts w:hint="default" w:ascii="Times New Roman" w:hAnsi="Times New Roman" w:cs="Times New Roman"/>
          <w:b/>
          <w:sz w:val="22"/>
        </w:rPr>
        <w:t>柴油加氢部分主要操作条件表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687"/>
        <w:gridCol w:w="1695"/>
        <w:gridCol w:w="1692"/>
        <w:gridCol w:w="845"/>
        <w:gridCol w:w="852"/>
        <w:gridCol w:w="943"/>
        <w:gridCol w:w="752"/>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2997" w:type="pct"/>
            <w:gridSpan w:val="3"/>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项目</w:t>
            </w:r>
          </w:p>
        </w:tc>
        <w:tc>
          <w:tcPr>
            <w:tcW w:w="2003" w:type="pct"/>
            <w:gridSpan w:val="4"/>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操作条件</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2997" w:type="pct"/>
            <w:gridSpan w:val="3"/>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反应器入口氢分压 MPa</w:t>
            </w:r>
          </w:p>
        </w:tc>
        <w:tc>
          <w:tcPr>
            <w:tcW w:w="2003"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restar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主催化剂体积空速 h</w:t>
            </w:r>
            <w:r>
              <w:rPr>
                <w:rFonts w:hint="default" w:ascii="Times New Roman" w:hAnsi="Times New Roman" w:eastAsia="宋体" w:cs="Times New Roman"/>
                <w:kern w:val="0"/>
                <w:sz w:val="21"/>
                <w:szCs w:val="21"/>
                <w:vertAlign w:val="superscript"/>
              </w:rPr>
              <w:t>-1</w:t>
            </w:r>
          </w:p>
        </w:tc>
        <w:tc>
          <w:tcPr>
            <w:tcW w:w="2000"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加氢精制反应器 RS-1000</w:t>
            </w:r>
          </w:p>
        </w:tc>
        <w:tc>
          <w:tcPr>
            <w:tcW w:w="2003"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2000"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加氢降凝反应器 RDW-1/RS-1000</w:t>
            </w:r>
          </w:p>
        </w:tc>
        <w:tc>
          <w:tcPr>
            <w:tcW w:w="2003"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998"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反应器入口氢油比</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Nm</w:t>
            </w:r>
            <w:r>
              <w:rPr>
                <w:rFonts w:hint="default" w:ascii="Times New Roman" w:hAnsi="Times New Roman" w:eastAsia="宋体" w:cs="Times New Roman"/>
                <w:kern w:val="0"/>
                <w:sz w:val="21"/>
                <w:szCs w:val="21"/>
                <w:vertAlign w:val="superscript"/>
              </w:rPr>
              <w:t>3</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vertAlign w:val="superscript"/>
              </w:rPr>
              <w:t>3</w:t>
            </w:r>
          </w:p>
        </w:tc>
        <w:tc>
          <w:tcPr>
            <w:tcW w:w="2003"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300：1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2997" w:type="pct"/>
            <w:gridSpan w:val="3"/>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操作方案</w:t>
            </w:r>
          </w:p>
        </w:tc>
        <w:tc>
          <w:tcPr>
            <w:tcW w:w="1002"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夏季（精制）</w:t>
            </w:r>
          </w:p>
        </w:tc>
        <w:tc>
          <w:tcPr>
            <w:tcW w:w="1001"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冬季（精制+降凝）</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2997" w:type="pct"/>
            <w:gridSpan w:val="3"/>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运转时间</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初期</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末期</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初期</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末期</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加氢精制反应器</w:t>
            </w: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l床层入口温度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315</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363</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320</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365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l床层出口温度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330</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375</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337</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378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2床层入口温度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330</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370</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337</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373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2床层出口温度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345</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386</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352</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389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平均反应温度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330</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372</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337</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378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总温升</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30</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28</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32</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加氢降凝反应器</w:t>
            </w: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入口温度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348</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388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出口温度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340</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平均反应温度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344</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384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998" w:type="pct"/>
            <w:gridSpan w:val="2"/>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化学耗氢</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w:t>
            </w:r>
          </w:p>
        </w:tc>
        <w:tc>
          <w:tcPr>
            <w:tcW w:w="4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0.32</w:t>
            </w:r>
          </w:p>
        </w:tc>
        <w:tc>
          <w:tcPr>
            <w:tcW w:w="503"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0.30</w:t>
            </w:r>
          </w:p>
        </w:tc>
        <w:tc>
          <w:tcPr>
            <w:tcW w:w="557"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0.68</w:t>
            </w:r>
          </w:p>
        </w:tc>
        <w:tc>
          <w:tcPr>
            <w:tcW w:w="444"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0.67</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高压分离器</w:t>
            </w: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2003"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压力</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2003"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低压分离器</w:t>
            </w: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2003"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压力</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2003" w:type="pct"/>
            <w:gridSpan w:val="4"/>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脱硫化氢汽提塔</w:t>
            </w: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进料温度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02"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200</w:t>
            </w:r>
          </w:p>
        </w:tc>
        <w:tc>
          <w:tcPr>
            <w:tcW w:w="1001"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02"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198</w:t>
            </w:r>
          </w:p>
        </w:tc>
        <w:tc>
          <w:tcPr>
            <w:tcW w:w="1001"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1002"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0.8</w:t>
            </w:r>
          </w:p>
        </w:tc>
        <w:tc>
          <w:tcPr>
            <w:tcW w:w="1001"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02"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198</w:t>
            </w:r>
          </w:p>
        </w:tc>
        <w:tc>
          <w:tcPr>
            <w:tcW w:w="1001"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165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产品分馏塔</w:t>
            </w: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进料温度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02"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255</w:t>
            </w:r>
          </w:p>
        </w:tc>
        <w:tc>
          <w:tcPr>
            <w:tcW w:w="1001"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02"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139</w:t>
            </w:r>
          </w:p>
        </w:tc>
        <w:tc>
          <w:tcPr>
            <w:tcW w:w="1001"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127</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1002"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0.2</w:t>
            </w:r>
          </w:p>
        </w:tc>
        <w:tc>
          <w:tcPr>
            <w:tcW w:w="1001"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97" w:hRule="atLeast"/>
        </w:trPr>
        <w:tc>
          <w:tcPr>
            <w:tcW w:w="997"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1001"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999" w:type="pct"/>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002"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315</w:t>
            </w:r>
          </w:p>
        </w:tc>
        <w:tc>
          <w:tcPr>
            <w:tcW w:w="1001" w:type="pct"/>
            <w:gridSpan w:val="2"/>
            <w:tcBorders>
              <w:tl2br w:val="nil"/>
              <w:tr2bl w:val="nil"/>
            </w:tcBorders>
            <w:shd w:val="clear" w:color="auto" w:fill="auto"/>
            <w:vAlign w:val="center"/>
          </w:tcPr>
          <w:p>
            <w:pPr>
              <w:autoSpaceDE w:val="0"/>
              <w:autoSpaceDN w:val="0"/>
              <w:adjustRightInd w:val="0"/>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294</w:t>
            </w:r>
          </w:p>
        </w:tc>
      </w:tr>
    </w:tbl>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asciiTheme="minorEastAsia" w:hAnsiTheme="minorEastAsia"/>
          <w:b/>
          <w:sz w:val="22"/>
        </w:rPr>
      </w:pPr>
      <w:r>
        <w:rPr>
          <w:rFonts w:hint="eastAsia" w:asciiTheme="minorEastAsia" w:hAnsiTheme="minorEastAsia"/>
          <w:b/>
          <w:sz w:val="22"/>
          <w:lang w:val="en-US" w:eastAsia="zh-CN"/>
        </w:rPr>
        <w:t xml:space="preserve">3.1.2-19 </w:t>
      </w:r>
      <w:r>
        <w:rPr>
          <w:rFonts w:asciiTheme="minorEastAsia" w:hAnsiTheme="minorEastAsia"/>
          <w:b/>
          <w:sz w:val="22"/>
        </w:rPr>
        <w:t xml:space="preserve">  煤油加氢部分主要操作条件表</w:t>
      </w:r>
    </w:p>
    <w:tbl>
      <w:tblPr>
        <w:tblStyle w:val="21"/>
        <w:tblW w:w="4998"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2287"/>
        <w:gridCol w:w="2005"/>
        <w:gridCol w:w="1307"/>
        <w:gridCol w:w="1432"/>
        <w:gridCol w:w="1432"/>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3307" w:type="pct"/>
            <w:gridSpan w:val="3"/>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项目</w:t>
            </w:r>
          </w:p>
        </w:tc>
        <w:tc>
          <w:tcPr>
            <w:tcW w:w="846"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操作初期</w:t>
            </w:r>
          </w:p>
        </w:tc>
        <w:tc>
          <w:tcPr>
            <w:tcW w:w="846"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操作末期</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2535"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反应器入口总压</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1692"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97" w:hRule="atLeast"/>
        </w:trPr>
        <w:tc>
          <w:tcPr>
            <w:tcW w:w="2535"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主催化剂体积空速</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h-1</w:t>
            </w:r>
          </w:p>
        </w:tc>
        <w:tc>
          <w:tcPr>
            <w:tcW w:w="1692"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97" w:hRule="atLeast"/>
        </w:trPr>
        <w:tc>
          <w:tcPr>
            <w:tcW w:w="2535"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反应器入口氢油比</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Nm</w:t>
            </w:r>
            <w:r>
              <w:rPr>
                <w:rFonts w:hint="default" w:ascii="Times New Roman" w:hAnsi="Times New Roman" w:eastAsia="宋体" w:cs="Times New Roman"/>
                <w:kern w:val="0"/>
                <w:sz w:val="21"/>
                <w:szCs w:val="21"/>
                <w:vertAlign w:val="superscript"/>
              </w:rPr>
              <w:t>3</w:t>
            </w:r>
            <w:r>
              <w:rPr>
                <w:rFonts w:hint="default" w:ascii="Times New Roman" w:hAnsi="Times New Roman" w:eastAsia="宋体" w:cs="Times New Roman"/>
                <w:kern w:val="0"/>
                <w:sz w:val="21"/>
                <w:szCs w:val="21"/>
              </w:rPr>
              <w:t>/m</w:t>
            </w:r>
            <w:r>
              <w:rPr>
                <w:rFonts w:hint="default" w:ascii="Times New Roman" w:hAnsi="Times New Roman" w:eastAsia="宋体" w:cs="Times New Roman"/>
                <w:kern w:val="0"/>
                <w:sz w:val="21"/>
                <w:szCs w:val="21"/>
                <w:vertAlign w:val="superscript"/>
              </w:rPr>
              <w:t>3</w:t>
            </w:r>
          </w:p>
        </w:tc>
        <w:tc>
          <w:tcPr>
            <w:tcW w:w="1692"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97" w:hRule="atLeast"/>
        </w:trPr>
        <w:tc>
          <w:tcPr>
            <w:tcW w:w="1351" w:type="pct"/>
            <w:vMerge w:val="restart"/>
            <w:tcBorders>
              <w:tl2br w:val="nil"/>
              <w:tr2bl w:val="nil"/>
            </w:tcBorders>
            <w:shd w:val="clear" w:color="auto" w:fill="auto"/>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加氢反应器</w:t>
            </w:r>
          </w:p>
        </w:tc>
        <w:tc>
          <w:tcPr>
            <w:tcW w:w="1183"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入口温度</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46"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240</w:t>
            </w:r>
          </w:p>
        </w:tc>
        <w:tc>
          <w:tcPr>
            <w:tcW w:w="846"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97" w:hRule="atLeast"/>
        </w:trPr>
        <w:tc>
          <w:tcPr>
            <w:tcW w:w="1351"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sz w:val="21"/>
                <w:szCs w:val="21"/>
              </w:rPr>
            </w:pPr>
          </w:p>
        </w:tc>
        <w:tc>
          <w:tcPr>
            <w:tcW w:w="1183"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出口温度</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46"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241</w:t>
            </w:r>
          </w:p>
        </w:tc>
        <w:tc>
          <w:tcPr>
            <w:tcW w:w="846"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282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351"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sz w:val="21"/>
                <w:szCs w:val="21"/>
              </w:rPr>
            </w:pPr>
          </w:p>
        </w:tc>
        <w:tc>
          <w:tcPr>
            <w:tcW w:w="1183"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平均反应温度</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846"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240.5</w:t>
            </w:r>
          </w:p>
        </w:tc>
        <w:tc>
          <w:tcPr>
            <w:tcW w:w="846"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281.5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351" w:type="pct"/>
            <w:vMerge w:val="restart"/>
            <w:tcBorders>
              <w:tl2br w:val="nil"/>
              <w:tr2bl w:val="nil"/>
            </w:tcBorders>
            <w:shd w:val="clear" w:color="auto" w:fill="auto"/>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低压分离器</w:t>
            </w:r>
          </w:p>
        </w:tc>
        <w:tc>
          <w:tcPr>
            <w:tcW w:w="1183"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温度</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692"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351"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sz w:val="21"/>
                <w:szCs w:val="21"/>
              </w:rPr>
            </w:pPr>
          </w:p>
        </w:tc>
        <w:tc>
          <w:tcPr>
            <w:tcW w:w="1183"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压力</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1692"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351" w:type="pct"/>
            <w:vMerge w:val="restart"/>
            <w:tcBorders>
              <w:tl2br w:val="nil"/>
              <w:tr2bl w:val="nil"/>
            </w:tcBorders>
            <w:shd w:val="clear" w:color="auto" w:fill="auto"/>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煤油加氢分馏塔</w:t>
            </w:r>
          </w:p>
        </w:tc>
        <w:tc>
          <w:tcPr>
            <w:tcW w:w="1183"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进料温度</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692"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97" w:hRule="atLeast"/>
        </w:trPr>
        <w:tc>
          <w:tcPr>
            <w:tcW w:w="1351"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sz w:val="21"/>
                <w:szCs w:val="21"/>
              </w:rPr>
            </w:pPr>
          </w:p>
        </w:tc>
        <w:tc>
          <w:tcPr>
            <w:tcW w:w="1183"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塔顶温度</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692"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204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351"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sz w:val="21"/>
                <w:szCs w:val="21"/>
              </w:rPr>
            </w:pPr>
          </w:p>
        </w:tc>
        <w:tc>
          <w:tcPr>
            <w:tcW w:w="1183"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塔顶压力</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MPa</w:t>
            </w:r>
          </w:p>
        </w:tc>
        <w:tc>
          <w:tcPr>
            <w:tcW w:w="1692"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0.23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7" w:hRule="atLeast"/>
        </w:trPr>
        <w:tc>
          <w:tcPr>
            <w:tcW w:w="1351" w:type="pct"/>
            <w:vMerge w:val="continue"/>
            <w:tcBorders>
              <w:tl2br w:val="nil"/>
              <w:tr2bl w:val="nil"/>
            </w:tcBorders>
            <w:shd w:val="clear" w:color="auto" w:fill="auto"/>
            <w:vAlign w:val="center"/>
          </w:tcPr>
          <w:p>
            <w:pPr>
              <w:spacing w:line="240" w:lineRule="auto"/>
              <w:jc w:val="center"/>
              <w:rPr>
                <w:rFonts w:hint="default" w:ascii="Times New Roman" w:hAnsi="Times New Roman" w:eastAsia="宋体" w:cs="Times New Roman"/>
                <w:sz w:val="21"/>
                <w:szCs w:val="21"/>
              </w:rPr>
            </w:pPr>
          </w:p>
        </w:tc>
        <w:tc>
          <w:tcPr>
            <w:tcW w:w="1183"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塔底温度</w:t>
            </w:r>
          </w:p>
        </w:tc>
        <w:tc>
          <w:tcPr>
            <w:tcW w:w="772" w:type="pct"/>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w:t>
            </w:r>
          </w:p>
        </w:tc>
        <w:tc>
          <w:tcPr>
            <w:tcW w:w="1692" w:type="pct"/>
            <w:gridSpan w:val="2"/>
            <w:tcBorders>
              <w:tl2br w:val="nil"/>
              <w:tr2bl w:val="nil"/>
            </w:tcBorders>
            <w:shd w:val="clear" w:color="auto" w:fill="auto"/>
            <w:vAlign w:val="center"/>
          </w:tcPr>
          <w:p>
            <w:pPr>
              <w:autoSpaceDE w:val="0"/>
              <w:autoSpaceDN w:val="0"/>
              <w:adjustRightInd w:val="0"/>
              <w:spacing w:line="240" w:lineRule="auto"/>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247</w:t>
            </w:r>
          </w:p>
        </w:tc>
      </w:tr>
    </w:tbl>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（4）原料、辅助材料和产品</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①原料</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柴油加氢部分原料为常压蒸馏装置提供的直馏柴油，煤油加氢部分原料为常压蒸馏装置提供的直馏煤油，氢气为60×10</w:t>
      </w:r>
      <w:r>
        <w:rPr>
          <w:rFonts w:hint="default" w:ascii="Times New Roman" w:hAnsi="Times New Roman" w:cs="Times New Roman" w:eastAsiaTheme="minorEastAsia"/>
          <w:vertAlign w:val="superscript"/>
        </w:rPr>
        <w:t>4</w:t>
      </w:r>
      <w:r>
        <w:rPr>
          <w:rFonts w:hint="default" w:ascii="Times New Roman" w:hAnsi="Times New Roman" w:cs="Times New Roman" w:eastAsiaTheme="minorEastAsia"/>
        </w:rPr>
        <w:t>t/连续重整装置提供的重整氢。</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②辅助材料</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装置的柴油加氢精制催化剂为RS-1000，加氢降凝催化剂为RDW-1，航煤加氢精制催化剂为RSS-1A。此外，装置还使用二甲基二硫、脱硫剂等化学药品。</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③产品</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装置柴油加氢部分的主要产品是精制柴油，副产品是石脑油、低分气和脱硫化氢汽提塔顶不凝气；煤油加氢部分的主要产品是精制航煤，副产品是石脑油和塔顶不凝气。</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装置主要产品为精制柴油和精制航煤，柴油满足国Ⅲ标准，冬季生产-35℃低凝柴油。煤油满足我国GB6537-2006标准要求的3#喷气燃料。副产品石脑油作为连续重整装置的原料。</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（5）装置的“三废”污染源排放</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本装置的废气主要是来自加氢反应进料加热炉烟气G</w:t>
      </w:r>
      <w:r>
        <w:rPr>
          <w:rFonts w:hint="default" w:ascii="Times New Roman" w:hAnsi="Times New Roman" w:cs="Times New Roman" w:eastAsiaTheme="minorEastAsia"/>
          <w:vertAlign w:val="subscript"/>
        </w:rPr>
        <w:t>1</w:t>
      </w:r>
      <w:r>
        <w:rPr>
          <w:rFonts w:hint="default" w:ascii="Times New Roman" w:hAnsi="Times New Roman" w:cs="Times New Roman" w:eastAsiaTheme="minorEastAsia"/>
        </w:rPr>
        <w:t>、分馏塔加热炉烟气G</w:t>
      </w:r>
      <w:r>
        <w:rPr>
          <w:rFonts w:hint="default" w:ascii="Times New Roman" w:hAnsi="Times New Roman" w:cs="Times New Roman" w:eastAsiaTheme="minorEastAsia"/>
          <w:vertAlign w:val="subscript"/>
        </w:rPr>
        <w:t>2</w:t>
      </w:r>
      <w:r>
        <w:rPr>
          <w:rFonts w:hint="default" w:ascii="Times New Roman" w:hAnsi="Times New Roman" w:cs="Times New Roman" w:eastAsiaTheme="minorEastAsia"/>
        </w:rPr>
        <w:t>，经各自烟气余热回收系统后，分别汇集进入50m高烟筒排入大气，主要污染物为SO</w:t>
      </w:r>
      <w:r>
        <w:rPr>
          <w:rFonts w:hint="default" w:ascii="Times New Roman" w:hAnsi="Times New Roman" w:cs="Times New Roman" w:eastAsiaTheme="minorEastAsia"/>
          <w:vertAlign w:val="subscript"/>
        </w:rPr>
        <w:t>2</w:t>
      </w:r>
      <w:r>
        <w:rPr>
          <w:rFonts w:hint="default" w:ascii="Times New Roman" w:hAnsi="Times New Roman" w:cs="Times New Roman" w:eastAsiaTheme="minorEastAsia"/>
        </w:rPr>
        <w:t>、NO</w:t>
      </w:r>
      <w:r>
        <w:rPr>
          <w:rFonts w:hint="default" w:ascii="Times New Roman" w:hAnsi="Times New Roman" w:cs="Times New Roman" w:eastAsiaTheme="minorEastAsia"/>
          <w:vertAlign w:val="subscript"/>
        </w:rPr>
        <w:t>X</w:t>
      </w:r>
      <w:r>
        <w:rPr>
          <w:rFonts w:hint="default" w:ascii="Times New Roman" w:hAnsi="Times New Roman" w:cs="Times New Roman" w:eastAsiaTheme="minorEastAsia"/>
        </w:rPr>
        <w:t>、烟尘。</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本装置废水主要为部分机泵冷却水、地面冲洗水等构成的含油废水W</w:t>
      </w:r>
      <w:r>
        <w:rPr>
          <w:rFonts w:hint="default" w:ascii="Times New Roman" w:hAnsi="Times New Roman" w:cs="Times New Roman" w:eastAsiaTheme="minorEastAsia"/>
          <w:vertAlign w:val="subscript"/>
        </w:rPr>
        <w:t>1</w:t>
      </w:r>
      <w:r>
        <w:rPr>
          <w:rFonts w:hint="default" w:ascii="Times New Roman" w:hAnsi="Times New Roman" w:cs="Times New Roman" w:eastAsiaTheme="minorEastAsia"/>
        </w:rPr>
        <w:t>；高压分离器排出的含油废水W</w:t>
      </w:r>
      <w:r>
        <w:rPr>
          <w:rFonts w:hint="default" w:ascii="Times New Roman" w:hAnsi="Times New Roman" w:cs="Times New Roman" w:eastAsiaTheme="minorEastAsia"/>
          <w:vertAlign w:val="subscript"/>
        </w:rPr>
        <w:t>2</w:t>
      </w:r>
      <w:r>
        <w:rPr>
          <w:rFonts w:hint="default" w:ascii="Times New Roman" w:hAnsi="Times New Roman" w:cs="Times New Roman" w:eastAsiaTheme="minorEastAsia"/>
        </w:rPr>
        <w:t>、汽提塔顶回流罐等排出的含硫污水W</w:t>
      </w:r>
      <w:r>
        <w:rPr>
          <w:rFonts w:hint="default" w:ascii="Times New Roman" w:hAnsi="Times New Roman" w:cs="Times New Roman" w:eastAsiaTheme="minorEastAsia"/>
          <w:vertAlign w:val="subscript"/>
        </w:rPr>
        <w:t>3</w:t>
      </w:r>
      <w:r>
        <w:rPr>
          <w:rFonts w:hint="default" w:ascii="Times New Roman" w:hAnsi="Times New Roman" w:cs="Times New Roman" w:eastAsiaTheme="minorEastAsia"/>
        </w:rPr>
        <w:t>；生活污水等。</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本装置废渣主要是加氢反应器产生的废加氢催化剂S</w:t>
      </w:r>
      <w:r>
        <w:rPr>
          <w:rFonts w:hint="default" w:ascii="Times New Roman" w:hAnsi="Times New Roman" w:cs="Times New Roman"/>
          <w:sz w:val="24"/>
          <w:vertAlign w:val="subscript"/>
        </w:rPr>
        <w:t>1</w:t>
      </w:r>
      <w:r>
        <w:rPr>
          <w:rFonts w:hint="default" w:ascii="Times New Roman" w:hAnsi="Times New Roman" w:cs="Times New Roman"/>
          <w:sz w:val="24"/>
        </w:rPr>
        <w:t>、废加氢保护剂S</w:t>
      </w:r>
      <w:r>
        <w:rPr>
          <w:rFonts w:hint="default" w:ascii="Times New Roman" w:hAnsi="Times New Roman" w:cs="Times New Roman"/>
          <w:sz w:val="24"/>
          <w:vertAlign w:val="subscript"/>
        </w:rPr>
        <w:t>2</w:t>
      </w:r>
      <w:r>
        <w:rPr>
          <w:rFonts w:hint="default" w:ascii="Times New Roman" w:hAnsi="Times New Roman" w:cs="Times New Roman"/>
          <w:sz w:val="24"/>
        </w:rPr>
        <w:t>、废瓷球S</w:t>
      </w:r>
      <w:r>
        <w:rPr>
          <w:rFonts w:hint="default" w:ascii="Times New Roman" w:hAnsi="Times New Roman" w:cs="Times New Roman"/>
          <w:sz w:val="24"/>
          <w:vertAlign w:val="subscript"/>
        </w:rPr>
        <w:t>3</w:t>
      </w:r>
      <w:r>
        <w:rPr>
          <w:rFonts w:hint="default" w:ascii="Times New Roman" w:hAnsi="Times New Roman" w:cs="Times New Roman"/>
          <w:sz w:val="24"/>
        </w:rPr>
        <w:t>等。</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煤油加氢精制装置及柴油加氢精制工艺流程图见图</w:t>
      </w:r>
      <w:r>
        <w:rPr>
          <w:rFonts w:hint="eastAsia" w:ascii="Times New Roman" w:hAnsi="Times New Roman" w:cs="Times New Roman"/>
          <w:sz w:val="24"/>
          <w:lang w:val="en-US" w:eastAsia="zh-CN"/>
        </w:rPr>
        <w:t>3.1.2-11</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both"/>
        <w:textAlignment w:val="auto"/>
        <w:rPr>
          <w:rFonts w:asciiTheme="minorEastAsia" w:hAnsiTheme="minorEastAsia"/>
          <w:sz w:val="24"/>
          <w:szCs w:val="20"/>
        </w:rPr>
      </w:pPr>
      <w:r>
        <w:rPr>
          <w:rFonts w:asciiTheme="minorEastAsia" w:hAnsiTheme="minorEastAsia"/>
          <w:sz w:val="24"/>
          <w:szCs w:val="20"/>
        </w:rPr>
        <w:drawing>
          <wp:inline distT="0" distB="0" distL="0" distR="0">
            <wp:extent cx="5413375" cy="3613150"/>
            <wp:effectExtent l="0" t="0" r="15875" b="6350"/>
            <wp:docPr id="3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413375" cy="3613150"/>
                    </a:xfrm>
                    <a:prstGeom prst="rect">
                      <a:avLst/>
                    </a:prstGeom>
                    <a:noFill/>
                    <a:ln>
                      <a:noFill/>
                    </a:ln>
                  </pic:spPr>
                </pic:pic>
              </a:graphicData>
            </a:graphic>
          </wp:inline>
        </w:drawing>
      </w:r>
    </w:p>
    <w:p>
      <w:pPr>
        <w:spacing w:beforeLines="30" w:afterLines="30"/>
        <w:jc w:val="center"/>
        <w:rPr>
          <w:rFonts w:hint="default" w:ascii="Times New Roman" w:hAnsi="Times New Roman" w:cs="Times New Roman"/>
          <w:b/>
          <w:sz w:val="24"/>
          <w:szCs w:val="20"/>
        </w:rPr>
      </w:pPr>
      <w:r>
        <w:rPr>
          <w:rFonts w:hint="default" w:ascii="Times New Roman" w:hAnsi="Times New Roman" w:cs="Times New Roman"/>
          <w:b/>
          <w:sz w:val="24"/>
          <w:szCs w:val="20"/>
        </w:rPr>
        <w:t>图</w:t>
      </w:r>
      <w:r>
        <w:rPr>
          <w:rFonts w:hint="default" w:ascii="Times New Roman" w:hAnsi="Times New Roman" w:cs="Times New Roman"/>
          <w:b/>
          <w:sz w:val="24"/>
          <w:szCs w:val="20"/>
          <w:lang w:val="en-US" w:eastAsia="zh-CN"/>
        </w:rPr>
        <w:t>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 xml:space="preserve">-11   </w:t>
      </w:r>
      <w:r>
        <w:rPr>
          <w:rFonts w:hint="default" w:ascii="Times New Roman" w:hAnsi="Times New Roman" w:cs="Times New Roman"/>
          <w:b/>
          <w:sz w:val="24"/>
          <w:szCs w:val="20"/>
        </w:rPr>
        <w:t>煤油加氢精制装置工艺流程图</w:t>
      </w:r>
    </w:p>
    <w:p>
      <w:pPr>
        <w:keepNext/>
        <w:spacing w:line="312" w:lineRule="auto"/>
        <w:rPr>
          <w:rFonts w:asciiTheme="minorEastAsia" w:hAnsiTheme="minorEastAsia"/>
          <w:sz w:val="24"/>
          <w:szCs w:val="20"/>
        </w:rPr>
      </w:pPr>
      <w:r>
        <w:rPr>
          <w:rFonts w:asciiTheme="minorEastAsia" w:hAnsiTheme="minorEastAsia"/>
          <w:sz w:val="24"/>
          <w:szCs w:val="20"/>
        </w:rPr>
        <w:drawing>
          <wp:inline distT="0" distB="0" distL="0" distR="0">
            <wp:extent cx="5276850" cy="3765550"/>
            <wp:effectExtent l="0" t="0" r="0" b="6350"/>
            <wp:docPr id="37" name="Picture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2" descr="1"/>
                    <pic:cNvPicPr>
                      <a:picLocks noChangeAspect="1" noChangeArrowheads="1"/>
                    </pic:cNvPicPr>
                  </pic:nvPicPr>
                  <pic:blipFill>
                    <a:blip r:embed="rId25" cstate="print"/>
                    <a:srcRect/>
                    <a:stretch>
                      <a:fillRect/>
                    </a:stretch>
                  </pic:blipFill>
                  <pic:spPr>
                    <a:xfrm>
                      <a:off x="0" y="0"/>
                      <a:ext cx="5276850" cy="3765550"/>
                    </a:xfrm>
                    <a:prstGeom prst="rect">
                      <a:avLst/>
                    </a:prstGeom>
                    <a:noFill/>
                    <a:ln w="9525">
                      <a:noFill/>
                      <a:miter lim="800000"/>
                      <a:headEnd/>
                      <a:tailEnd/>
                    </a:ln>
                  </pic:spPr>
                </pic:pic>
              </a:graphicData>
            </a:graphic>
          </wp:inline>
        </w:drawing>
      </w:r>
    </w:p>
    <w:p>
      <w:pPr>
        <w:spacing w:beforeLines="30" w:afterLines="30"/>
        <w:jc w:val="center"/>
        <w:rPr>
          <w:rFonts w:hint="default" w:ascii="Times New Roman" w:hAnsi="Times New Roman" w:cs="Times New Roman"/>
          <w:b/>
          <w:sz w:val="24"/>
          <w:szCs w:val="20"/>
        </w:rPr>
      </w:pPr>
      <w:bookmarkStart w:id="148" w:name="_Ref503180121"/>
      <w:r>
        <w:rPr>
          <w:rFonts w:hint="default" w:ascii="Times New Roman" w:hAnsi="Times New Roman" w:cs="Times New Roman"/>
          <w:b/>
          <w:sz w:val="24"/>
          <w:szCs w:val="20"/>
        </w:rPr>
        <w:t>图</w:t>
      </w:r>
      <w:bookmarkEnd w:id="148"/>
      <w:r>
        <w:rPr>
          <w:rFonts w:hint="default" w:ascii="Times New Roman" w:hAnsi="Times New Roman" w:cs="Times New Roman"/>
          <w:b/>
          <w:sz w:val="24"/>
          <w:szCs w:val="20"/>
          <w:lang w:val="en-US" w:eastAsia="zh-CN"/>
        </w:rPr>
        <w:t>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 xml:space="preserve">-12   </w:t>
      </w:r>
      <w:r>
        <w:rPr>
          <w:rFonts w:hint="default" w:ascii="Times New Roman" w:hAnsi="Times New Roman" w:cs="Times New Roman"/>
          <w:b/>
          <w:sz w:val="24"/>
          <w:szCs w:val="20"/>
        </w:rPr>
        <w:t>柴油加氢精制装置工艺流程图</w:t>
      </w:r>
    </w:p>
    <w:p>
      <w:pPr>
        <w:pStyle w:val="8"/>
        <w:keepNext w:val="0"/>
        <w:keepLines w:val="0"/>
        <w:pageBreakBefore w:val="0"/>
        <w:widowControl w:val="0"/>
        <w:kinsoku/>
        <w:wordWrap/>
        <w:overflowPunct/>
        <w:topLinePunct w:val="0"/>
        <w:autoSpaceDE/>
        <w:autoSpaceDN/>
        <w:bidi w:val="0"/>
        <w:adjustRightInd/>
        <w:snapToGrid/>
        <w:spacing w:beforeLines="0" w:afterLines="0" w:line="560" w:lineRule="exact"/>
        <w:jc w:val="left"/>
        <w:textAlignment w:val="auto"/>
        <w:outlineLvl w:val="3"/>
        <w:rPr>
          <w:rFonts w:hint="eastAsia" w:ascii="Times New Roman" w:hAnsi="Times New Roman" w:cs="Times New Roman" w:eastAsiaTheme="minorEastAsia"/>
          <w:b/>
          <w:bCs/>
          <w:lang w:eastAsia="zh-CN"/>
        </w:rPr>
      </w:pPr>
      <w:r>
        <w:rPr>
          <w:rFonts w:hint="default" w:ascii="Times New Roman" w:hAnsi="Times New Roman" w:cs="Times New Roman" w:eastAsiaTheme="minorEastAsia"/>
          <w:b/>
          <w:bCs/>
        </w:rPr>
        <w:t>3.</w:t>
      </w:r>
      <w:r>
        <w:rPr>
          <w:rFonts w:hint="eastAsia" w:ascii="Times New Roman" w:hAnsi="Times New Roman" w:cs="Times New Roman" w:eastAsiaTheme="minorEastAsia"/>
          <w:b/>
          <w:bCs/>
          <w:lang w:val="en-US" w:eastAsia="zh-CN"/>
        </w:rPr>
        <w:t>1</w:t>
      </w:r>
      <w:r>
        <w:rPr>
          <w:rFonts w:hint="default" w:ascii="Times New Roman" w:hAnsi="Times New Roman" w:cs="Times New Roman" w:eastAsiaTheme="minorEastAsia"/>
          <w:b/>
          <w:bCs/>
          <w:lang w:val="en-US" w:eastAsia="zh-CN"/>
        </w:rPr>
        <w:t>.2</w:t>
      </w:r>
      <w:r>
        <w:rPr>
          <w:rFonts w:hint="default" w:ascii="Times New Roman" w:hAnsi="Times New Roman" w:cs="Times New Roman" w:eastAsiaTheme="minorEastAsia"/>
          <w:b/>
          <w:bCs/>
        </w:rPr>
        <w:t>.3</w:t>
      </w:r>
      <w:r>
        <w:rPr>
          <w:rFonts w:hint="eastAsia" w:ascii="Times New Roman" w:hAnsi="Times New Roman" w:cs="Times New Roman" w:eastAsiaTheme="minorEastAsia"/>
          <w:b/>
          <w:bCs/>
          <w:lang w:eastAsia="zh-CN"/>
        </w:rPr>
        <w:t>炼油三部</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eastAsia" w:ascii="Times New Roman" w:hAnsi="Times New Roman" w:cs="Times New Roman"/>
          <w:sz w:val="24"/>
          <w:szCs w:val="24"/>
          <w:lang w:eastAsia="zh-CN"/>
        </w:rPr>
        <w:t>炼油三部</w:t>
      </w:r>
      <w:r>
        <w:rPr>
          <w:rFonts w:hint="default" w:ascii="Times New Roman" w:hAnsi="Times New Roman" w:cs="Times New Roman"/>
          <w:sz w:val="24"/>
          <w:szCs w:val="24"/>
        </w:rPr>
        <w:t>主要包括15万吨/年聚丙烯装置和硫磺回收装置。</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b/>
          <w:sz w:val="24"/>
          <w:szCs w:val="24"/>
        </w:rPr>
      </w:pPr>
      <w:r>
        <w:rPr>
          <w:rFonts w:hint="default" w:ascii="Times New Roman" w:hAnsi="Times New Roman" w:cs="Times New Roman"/>
          <w:b/>
          <w:sz w:val="24"/>
          <w:szCs w:val="24"/>
        </w:rPr>
        <w:t>1、聚丙烯装置</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lang w:val="zh-CN"/>
        </w:rPr>
        <w:t>本装置加工原料为来自气体分馏装置的精丙烯，</w:t>
      </w:r>
      <w:r>
        <w:rPr>
          <w:rFonts w:hint="default" w:ascii="Times New Roman" w:hAnsi="Times New Roman" w:cs="Times New Roman" w:eastAsiaTheme="minorEastAsia"/>
          <w:sz w:val="24"/>
          <w:szCs w:val="24"/>
        </w:rPr>
        <w:t>经聚合后生产聚丙烯产品，尾气去燃料气回收系统。</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装置</w:t>
      </w:r>
      <w:r>
        <w:rPr>
          <w:rFonts w:hint="default" w:ascii="Times New Roman" w:hAnsi="Times New Roman" w:cs="Times New Roman" w:eastAsiaTheme="minorEastAsia"/>
          <w:sz w:val="24"/>
          <w:szCs w:val="24"/>
          <w:lang w:val="zh-CN"/>
        </w:rPr>
        <w:t>设计规模为</w:t>
      </w:r>
      <w:r>
        <w:rPr>
          <w:rFonts w:hint="default" w:ascii="Times New Roman" w:hAnsi="Times New Roman" w:cs="Times New Roman" w:eastAsiaTheme="minorEastAsia"/>
          <w:sz w:val="24"/>
          <w:szCs w:val="24"/>
        </w:rPr>
        <w:t>聚丙烯产品</w:t>
      </w:r>
      <w:r>
        <w:rPr>
          <w:rFonts w:hint="default" w:ascii="Times New Roman" w:hAnsi="Times New Roman" w:cs="Times New Roman" w:eastAsiaTheme="minorEastAsia"/>
          <w:sz w:val="24"/>
          <w:szCs w:val="24"/>
          <w:lang w:val="zh-CN"/>
        </w:rPr>
        <w:t>15万吨/年，</w:t>
      </w:r>
      <w:r>
        <w:rPr>
          <w:rFonts w:hint="default" w:ascii="Times New Roman" w:hAnsi="Times New Roman" w:cs="Times New Roman" w:eastAsiaTheme="minorEastAsia"/>
          <w:sz w:val="24"/>
          <w:szCs w:val="24"/>
        </w:rPr>
        <w:t>实际生产量15.85万吨/年，年开工时间8400小时。装置由丙烯精制、催化剂配制、聚合、丙烯回收、聚合物汽蒸和干燥、挤压造粒、产品均化和储存等部分组成。</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（1）主要工艺技术特点</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采用国产化的第二代环管式反应器聚丙烯工艺。</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该工艺系20世纪90年代末期，我国根据当时的HIMONT的Spheripol工艺进行了工艺和设备的一系列国产化开发工作，实现了设备和工艺的国产化，并利用该工艺建设了多套聚丙烯装置，这些装置以生产均聚物和无规共聚物为主。</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该工艺采用液相本体聚合工艺，采用高效催化剂，生成的聚丙烯粉料粒度分布可以调节，既可宽又可窄。反应器为两个串联的环管式反应器，具有传热系数大、单位体积产率高、流速快、催化剂体系分布均匀，反应条件较易控制、结构简单、材质要求低等特点。</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（2）工艺流程</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聚丙烯工艺包括丙烯精制、催化剂配制、聚合、丙烯回收、聚合物汽蒸和干燥、挤压造粒、产品均化和贮存等工序。</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①丙烯精制</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由气体分馏装置来的丙烯在聚丙烯装置的精制工段进行精制，通过轻组分气提塔脱去一氧化碳和其它轻组分；通过自动再生并且氮气可内部循环的脱水系统脱出水分；通过固定床容器脱出硫、羰基硫和胂等杂质。精制后的丙烯与回收丙烯一起贮存在聚合工段中的丙烯罐供聚合用。</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②催化剂配制</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丙烯聚合使用三种催化剂，即主催化剂和两种助催化剂。桶装助催化剂-1（给电子体）用烃类油稀释后与钢瓶装助催化剂-2（100％三乙基铝）分别经各自的计量泵送入预接触罐。主催化剂用烃类油和脂稀释、搅拌，确保主催化剂均匀地分散在油脂混合物中。稀释液冷却后用计量泵进行液压控制送往预接触罐。</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在预接触罐中，主催化剂与两种助催化剂搅拌混合后供聚合用。</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③预聚合与聚合</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从预接触罐溢流的催化剂混合物与低温液态丙烯进行在线混合后，进入小型液相反应器，在20℃，3.3MPa下，进行预聚合反应。预聚合液用泵打循环。反应热通过环管夹套内的循环水撤出。</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经预聚合的催化剂浆液进入第一台环管反应器，在此加入丙烯和用于分子量控制的氢气，在65℃～75℃，3.3MPa下，一部分丙烯聚合，未聚合的液态丙烯作为固体聚合物的稀释剂，浆液浓度保持在50％～55％(wt)。环管反应器内的物料通过轴流泵维持高速流动以获得非常均匀的混合。</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从第一台聚合反应器出来的物流与新鲜的丙烯和氢气物流一起送入第二台环管反应器，继续进行聚合反应。这两台环管反应器的物理条件和几何形态是一样的。反应物料在两台反应器中的总停留时间大约1.5小时。反应热经夹套循环水，并在换热器中均匀撤出。</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未反应的部分液态丙烯作为固体聚合物的稀释剂，聚合浆液用轴流泵高速循环并连续从环管反应器经套管加热器加热保证单体完全汽化后，直接排到旋风式闪蒸罐中，该罐操作压力为1.5MP～1.8MPa。而后聚合物靠压差连续排放至袋式过滤器中。</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④聚合物脱气和汽蒸</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收集在闪蒸罐底部的片状聚合物送到袋式过滤器，其压力基本保持为常压，以便从聚合物中分离出剩余的未反应的单体。工艺抗氧剂也注入汽蒸器的进料管线中。未反应的丙烯在低压丙烯洗涤塔中冲洗，分离出夹带的聚合物粉末之后，由循环气压缩机压缩，然后送到丙烯回收工段。</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⑤聚合物汽蒸、干燥</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片状聚合物由重力排放到汽蒸器中，新鲜蒸汽由此注入，以脱除最后残余下来的单体和丙烷，并将三乙基铝脱活，以改善产品质量。残余未反应的单体和丙烷通过压缩，送出界区用作燃料气或单体回收。聚合物从汽蒸器排放到流化床干燥器，用热氮脱除其表面水分。干燥的聚合物由另一氮气闭路气动输送机送到储存料仓。</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⑥公用工程系统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本装置设有反应紧急排放系统，由高压排放罐、低压排放罐及和旋风分离系统组成，将排放物中的粉末和单体分离。蒸汽凝液进入蒸汽冷凝液罐中，除掉凝液中的杂质。凝液经泵送至界区。</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⑦添加剂处理和挤出造粒</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从干燥器出来的片状聚合物进到挤出机的进料料仓，片状聚合物由气动输送系统输送。片状聚合物从料仓排出，通过计量装置按比例连续计量，进入混合器，然后进挤压机。袋装添加剂称重后，由破袋器破袋，排入掺混器内。添加剂通常与来自干燥器的聚合物掺混。混合后，添加剂和聚合物经计量装置连续按比例计量，排到挤压机的进料混合器中。片状聚合物和添加剂在挤压面中均匀熔化、凝胶，并在水下切粒机中切粒。切粒后的聚丙烯颗粒进到干燥器中，在此分离出水，再进到振动筛中，筛出粗粒和细粒后，聚丙烯颗粒进入气动输送系统，送到均化器/储存料仓。</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⑧产品均化和储存</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来自挤压工段的聚丙烯是颗粒经气动输送系统送到重力掺混器，重力掺混器还用作储存料仓。通过气动输送系统将掺混器内一定量的储存颗粒进行循环使产品均化，同一气动输送系统也用来将均化颗粒送到装袋料仓。聚丙烯颗粒由储存料仓送到装袋进料仓。包装厂房设1条25kg/袋包装码垛生产线，每条包装线的能力为1200袋/小时。包装机为全自动包装机，包装料斗中的聚丙烯粒料进入包装码垛生产线，经自动上袋、称量、装袋、折边、封口、倒袋、金属检测、重量检测、批号打印，最后合格产品经输送机运送入自动码垛机码垛成形。由操作工用叉车将载有成品的托盘运送至成品仓库贮存并等待装火车或汽车。</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（3）装置主要操作条件</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①预聚条件</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预聚温度：20℃；</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预聚压力：3.81MPa；</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停留时间：12min。</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②反应器操作条件</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反应温度：70～73℃；</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反应压力：3.8MPa，高压操作时4.5MPa；</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停留时间：~1.5h（在最大负荷时）；</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浆液浓度：大约50%（wt）。</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（4）原料、辅助材料和产品</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①原料</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原料丙烯由50万吨/年气体分馏装置输送至丙烯罐区储存，再通过管道输送至本装置；氢气由氢提纯装置通过管道送至本装置。</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②产品</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装置可生产37个牌号的聚丙烯均聚物（包括高刚性均聚牌号），不预留无规共聚物，聚合物颗粒尺寸范围从2.5mm到3mm，取决于催化剂载体成份PSD 的不同。</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（5）装置的“三废”污染源排放</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本装置产生的污染物主要有废气、废水和固体废物。</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本装置的废气主要来自丙烯和乙烯净化时产生的工艺废气G</w:t>
      </w:r>
      <w:r>
        <w:rPr>
          <w:rFonts w:hint="default" w:ascii="Times New Roman" w:hAnsi="Times New Roman" w:cs="Times New Roman" w:eastAsiaTheme="minorEastAsia"/>
          <w:sz w:val="24"/>
          <w:szCs w:val="24"/>
          <w:vertAlign w:val="subscript"/>
        </w:rPr>
        <w:t>1</w:t>
      </w:r>
      <w:r>
        <w:rPr>
          <w:rFonts w:hint="default" w:ascii="Times New Roman" w:hAnsi="Times New Roman" w:cs="Times New Roman" w:eastAsiaTheme="minorEastAsia"/>
          <w:sz w:val="24"/>
          <w:szCs w:val="24"/>
        </w:rPr>
        <w:t>、循环丙烯精制时排放的工艺尾气G</w:t>
      </w:r>
      <w:r>
        <w:rPr>
          <w:rFonts w:hint="default" w:ascii="Times New Roman" w:hAnsi="Times New Roman" w:cs="Times New Roman" w:eastAsiaTheme="minorEastAsia"/>
          <w:sz w:val="24"/>
          <w:szCs w:val="24"/>
          <w:vertAlign w:val="subscript"/>
        </w:rPr>
        <w:t>2</w:t>
      </w:r>
      <w:r>
        <w:rPr>
          <w:rFonts w:hint="default" w:ascii="Times New Roman" w:hAnsi="Times New Roman" w:cs="Times New Roman" w:eastAsiaTheme="minorEastAsia"/>
          <w:sz w:val="24"/>
          <w:szCs w:val="24"/>
        </w:rPr>
        <w:t>、聚合物造粒、储存和风送系统排出的废气G</w:t>
      </w:r>
      <w:r>
        <w:rPr>
          <w:rFonts w:hint="default" w:ascii="Times New Roman" w:hAnsi="Times New Roman" w:cs="Times New Roman" w:eastAsiaTheme="minorEastAsia"/>
          <w:sz w:val="24"/>
          <w:szCs w:val="24"/>
          <w:vertAlign w:val="subscript"/>
        </w:rPr>
        <w:t>3</w:t>
      </w:r>
      <w:r>
        <w:rPr>
          <w:rFonts w:hint="default" w:ascii="Times New Roman" w:hAnsi="Times New Roman" w:cs="Times New Roman" w:eastAsiaTheme="minorEastAsia"/>
          <w:sz w:val="24"/>
          <w:szCs w:val="24"/>
        </w:rPr>
        <w:t>。其中净化废气排入火炬回收系统；循环丙烯精制时排放的工艺废气在装置内进行回收；送系统排出的废气中含有一定微量的丙烯和聚合物粉尘。</w:t>
      </w:r>
    </w:p>
    <w:p>
      <w:pPr>
        <w:pStyle w:val="39"/>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eastAsiaTheme="minorEastAsia"/>
          <w:sz w:val="24"/>
          <w:szCs w:val="24"/>
        </w:rPr>
      </w:pPr>
      <w:r>
        <w:rPr>
          <w:rFonts w:hint="default" w:ascii="Times New Roman" w:hAnsi="Times New Roman" w:cs="Times New Roman" w:eastAsiaTheme="minorEastAsia"/>
          <w:sz w:val="24"/>
          <w:szCs w:val="24"/>
        </w:rPr>
        <w:t>本装置废水主要来自聚合物汽提塔排水W</w:t>
      </w:r>
      <w:r>
        <w:rPr>
          <w:rFonts w:hint="default" w:ascii="Times New Roman" w:hAnsi="Times New Roman" w:cs="Times New Roman" w:eastAsiaTheme="minorEastAsia"/>
          <w:sz w:val="24"/>
          <w:szCs w:val="24"/>
          <w:vertAlign w:val="subscript"/>
        </w:rPr>
        <w:t>1</w:t>
      </w:r>
      <w:r>
        <w:rPr>
          <w:rFonts w:hint="default" w:ascii="Times New Roman" w:hAnsi="Times New Roman" w:cs="Times New Roman" w:eastAsiaTheme="minorEastAsia"/>
          <w:sz w:val="24"/>
          <w:szCs w:val="24"/>
        </w:rPr>
        <w:t>；汽蒸干燥系统排水W</w:t>
      </w:r>
      <w:r>
        <w:rPr>
          <w:rFonts w:hint="default" w:ascii="Times New Roman" w:hAnsi="Times New Roman" w:cs="Times New Roman" w:eastAsiaTheme="minorEastAsia"/>
          <w:sz w:val="24"/>
          <w:szCs w:val="24"/>
          <w:vertAlign w:val="subscript"/>
        </w:rPr>
        <w:t>2</w:t>
      </w:r>
      <w:r>
        <w:rPr>
          <w:rFonts w:hint="default" w:ascii="Times New Roman" w:hAnsi="Times New Roman" w:cs="Times New Roman" w:eastAsiaTheme="minorEastAsia"/>
          <w:sz w:val="24"/>
          <w:szCs w:val="24"/>
        </w:rPr>
        <w:t>；机泵冷却、地面冲洗等构成的含油废水W</w:t>
      </w:r>
      <w:r>
        <w:rPr>
          <w:rFonts w:hint="default" w:ascii="Times New Roman" w:hAnsi="Times New Roman" w:cs="Times New Roman" w:eastAsiaTheme="minorEastAsia"/>
          <w:sz w:val="24"/>
          <w:szCs w:val="24"/>
          <w:vertAlign w:val="subscript"/>
        </w:rPr>
        <w:t>3</w:t>
      </w:r>
      <w:r>
        <w:rPr>
          <w:rFonts w:hint="default" w:ascii="Times New Roman" w:hAnsi="Times New Roman" w:cs="Times New Roman" w:eastAsiaTheme="minorEastAsia"/>
          <w:sz w:val="24"/>
          <w:szCs w:val="24"/>
        </w:rPr>
        <w:t>；生活污水等。</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cs="Times New Roman"/>
          <w:sz w:val="24"/>
          <w:szCs w:val="24"/>
        </w:rPr>
      </w:pPr>
      <w:r>
        <w:rPr>
          <w:rFonts w:hint="default" w:ascii="Times New Roman" w:hAnsi="Times New Roman" w:cs="Times New Roman"/>
          <w:sz w:val="24"/>
          <w:szCs w:val="24"/>
        </w:rPr>
        <w:t>本装置固体废物主要为原料气净化排放的废催化剂S</w:t>
      </w:r>
      <w:r>
        <w:rPr>
          <w:rFonts w:hint="default" w:ascii="Times New Roman" w:hAnsi="Times New Roman" w:cs="Times New Roman"/>
          <w:sz w:val="24"/>
          <w:szCs w:val="24"/>
          <w:vertAlign w:val="subscript"/>
        </w:rPr>
        <w:t>1</w:t>
      </w:r>
      <w:r>
        <w:rPr>
          <w:rFonts w:hint="default" w:ascii="Times New Roman" w:hAnsi="Times New Roman" w:cs="Times New Roman"/>
          <w:sz w:val="24"/>
          <w:szCs w:val="24"/>
        </w:rPr>
        <w:t>、废吸附剂S</w:t>
      </w:r>
      <w:r>
        <w:rPr>
          <w:rFonts w:hint="default" w:ascii="Times New Roman" w:hAnsi="Times New Roman" w:cs="Times New Roman"/>
          <w:sz w:val="24"/>
          <w:szCs w:val="24"/>
          <w:vertAlign w:val="subscript"/>
        </w:rPr>
        <w:t>2</w:t>
      </w:r>
      <w:r>
        <w:rPr>
          <w:rFonts w:hint="default" w:ascii="Times New Roman" w:hAnsi="Times New Roman" w:cs="Times New Roman"/>
          <w:sz w:val="24"/>
          <w:szCs w:val="24"/>
        </w:rPr>
        <w:t>；催化剂配制系统排出的催化剂废液S</w:t>
      </w:r>
      <w:r>
        <w:rPr>
          <w:rFonts w:hint="default" w:ascii="Times New Roman" w:hAnsi="Times New Roman" w:cs="Times New Roman"/>
          <w:sz w:val="24"/>
          <w:szCs w:val="24"/>
          <w:vertAlign w:val="subscript"/>
        </w:rPr>
        <w:t>3</w:t>
      </w:r>
      <w:r>
        <w:rPr>
          <w:rFonts w:hint="default" w:ascii="Times New Roman" w:hAnsi="Times New Roman" w:cs="Times New Roman"/>
          <w:sz w:val="24"/>
          <w:szCs w:val="24"/>
        </w:rPr>
        <w:t>；造粒、储存和包装等过程产生的聚丙烯颗粒S</w:t>
      </w:r>
      <w:r>
        <w:rPr>
          <w:rFonts w:hint="default" w:ascii="Times New Roman" w:hAnsi="Times New Roman" w:cs="Times New Roman"/>
          <w:sz w:val="24"/>
          <w:szCs w:val="24"/>
          <w:vertAlign w:val="subscript"/>
        </w:rPr>
        <w:t>4</w:t>
      </w:r>
      <w:r>
        <w:rPr>
          <w:rFonts w:hint="default" w:ascii="Times New Roman" w:hAnsi="Times New Roman" w:cs="Times New Roman"/>
          <w:sz w:val="24"/>
          <w:szCs w:val="24"/>
        </w:rPr>
        <w:t>等。工艺流程见图</w:t>
      </w:r>
      <w:r>
        <w:rPr>
          <w:rFonts w:hint="default" w:ascii="Times New Roman" w:hAnsi="Times New Roman" w:cs="Times New Roman"/>
          <w:sz w:val="24"/>
          <w:szCs w:val="24"/>
          <w:lang w:val="en-US" w:eastAsia="zh-CN"/>
        </w:rPr>
        <w:t>3.</w:t>
      </w:r>
      <w:r>
        <w:rPr>
          <w:rFonts w:hint="eastAsia" w:ascii="Times New Roman" w:hAnsi="Times New Roman" w:cs="Times New Roman"/>
          <w:sz w:val="24"/>
          <w:szCs w:val="24"/>
          <w:lang w:val="en-US" w:eastAsia="zh-CN"/>
        </w:rPr>
        <w:t>1.2</w:t>
      </w:r>
      <w:r>
        <w:rPr>
          <w:rFonts w:hint="default" w:ascii="Times New Roman" w:hAnsi="Times New Roman" w:cs="Times New Roman"/>
          <w:sz w:val="24"/>
          <w:szCs w:val="24"/>
          <w:lang w:val="en-US" w:eastAsia="zh-CN"/>
        </w:rPr>
        <w:t>-13</w:t>
      </w:r>
      <w:r>
        <w:rPr>
          <w:rFonts w:hint="default" w:ascii="Times New Roman" w:hAnsi="Times New Roman" w:cs="Times New Roman"/>
          <w:sz w:val="24"/>
          <w:szCs w:val="24"/>
        </w:rPr>
        <w:t>。</w:t>
      </w:r>
    </w:p>
    <w:p>
      <w:pPr>
        <w:pStyle w:val="3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asciiTheme="minorEastAsia" w:hAnsiTheme="minorEastAsia" w:eastAsiaTheme="minorEastAsia"/>
        </w:rPr>
      </w:pPr>
      <w:r>
        <w:rPr>
          <w:rFonts w:asciiTheme="minorEastAsia" w:hAnsiTheme="minorEastAsia"/>
          <w:szCs w:val="20"/>
        </w:rPr>
        <w:drawing>
          <wp:inline distT="0" distB="0" distL="0" distR="0">
            <wp:extent cx="5276850" cy="3295650"/>
            <wp:effectExtent l="0" t="0" r="0" b="0"/>
            <wp:docPr id="2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
                    <pic:cNvPicPr>
                      <a:picLocks noChangeAspect="1"/>
                    </pic:cNvPicPr>
                  </pic:nvPicPr>
                  <pic:blipFill>
                    <a:blip r:embed="rId26" cstate="print"/>
                    <a:stretch>
                      <a:fillRect/>
                    </a:stretch>
                  </pic:blipFill>
                  <pic:spPr>
                    <a:xfrm>
                      <a:off x="0" y="0"/>
                      <a:ext cx="5276850" cy="3295650"/>
                    </a:xfrm>
                    <a:prstGeom prst="rect">
                      <a:avLst/>
                    </a:prstGeom>
                  </pic:spPr>
                </pic:pic>
              </a:graphicData>
            </a:graphic>
          </wp:inline>
        </w:drawing>
      </w:r>
    </w:p>
    <w:p>
      <w:pPr>
        <w:spacing w:beforeLines="30" w:afterLines="30"/>
        <w:jc w:val="center"/>
        <w:rPr>
          <w:rFonts w:hint="default" w:ascii="Times New Roman" w:hAnsi="Times New Roman" w:cs="Times New Roman"/>
          <w:b/>
          <w:sz w:val="24"/>
          <w:szCs w:val="20"/>
        </w:rPr>
      </w:pPr>
      <w:bookmarkStart w:id="149" w:name="_Ref503180611"/>
      <w:r>
        <w:rPr>
          <w:rFonts w:hint="default" w:ascii="Times New Roman" w:hAnsi="Times New Roman" w:cs="Times New Roman"/>
          <w:b/>
          <w:sz w:val="24"/>
          <w:szCs w:val="20"/>
        </w:rPr>
        <w:t>图</w:t>
      </w:r>
      <w:bookmarkEnd w:id="149"/>
      <w:r>
        <w:rPr>
          <w:rFonts w:hint="default" w:ascii="Times New Roman" w:hAnsi="Times New Roman" w:cs="Times New Roman"/>
          <w:b/>
          <w:sz w:val="24"/>
          <w:szCs w:val="20"/>
          <w:lang w:val="en-US" w:eastAsia="zh-CN"/>
        </w:rPr>
        <w:t>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-13</w:t>
      </w:r>
      <w:r>
        <w:rPr>
          <w:rFonts w:hint="default" w:ascii="Times New Roman" w:hAnsi="Times New Roman" w:cs="Times New Roman"/>
          <w:b/>
          <w:sz w:val="24"/>
          <w:szCs w:val="20"/>
        </w:rPr>
        <w:t>聚丙烯装置主要工艺流程</w:t>
      </w:r>
    </w:p>
    <w:p>
      <w:pPr>
        <w:keepNext w:val="0"/>
        <w:keepLines w:val="0"/>
        <w:pageBreakBefore w:val="0"/>
        <w:widowControl w:val="0"/>
        <w:tabs>
          <w:tab w:val="left" w:pos="1710"/>
        </w:tabs>
        <w:kinsoku/>
        <w:wordWrap/>
        <w:overflowPunct/>
        <w:topLinePunct w:val="0"/>
        <w:autoSpaceDE/>
        <w:autoSpaceDN/>
        <w:bidi w:val="0"/>
        <w:spacing w:line="560" w:lineRule="exact"/>
        <w:ind w:firstLine="512" w:firstLineChars="200"/>
        <w:jc w:val="left"/>
        <w:textAlignment w:val="auto"/>
        <w:rPr>
          <w:rFonts w:hint="default" w:ascii="Times New Roman" w:hAnsi="Times New Roman" w:cs="Times New Roman"/>
          <w:b/>
          <w:sz w:val="24"/>
          <w:szCs w:val="20"/>
        </w:rPr>
      </w:pPr>
      <w:r>
        <w:rPr>
          <w:rFonts w:hint="default" w:ascii="Times New Roman" w:hAnsi="Times New Roman" w:cs="Times New Roman"/>
          <w:b/>
          <w:sz w:val="24"/>
          <w:szCs w:val="20"/>
        </w:rPr>
        <w:t>2、硫磺回收装置</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51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本装置为与各生产装置配套的环保装置，包括酸性水汽提、溶剂再生及硫磺回收三个部分。其中酸性水汽提对常压蒸馏装置、连续重整装置、催化裂化装置、柴油加氢精制装置、柴油加氢改质降凝装置以及硫磺回收部分等产生的酸性水进行脱气、除油、汽提处理，满足净化水回用和污水处理场的进水水质要求；溶剂再生对全厂生产装置脱硫单元的富液进行集中再生，满足脱硫单元所需贫液的质量要求；硫磺回收对本装置酸性水汽提和溶剂再生产生的酸性气进行处理，回收硫磺，并配套建设相应的尾气处理设施，使总硫回收率达到99.5%以上，排放尾气中SO</w:t>
      </w:r>
      <w:r>
        <w:rPr>
          <w:rFonts w:hint="default" w:ascii="Times New Roman" w:hAnsi="Times New Roman" w:cs="Times New Roman" w:eastAsiaTheme="minorEastAsia"/>
          <w:vertAlign w:val="subscript"/>
        </w:rPr>
        <w:t>2</w:t>
      </w:r>
      <w:r>
        <w:rPr>
          <w:rFonts w:hint="default" w:ascii="Times New Roman" w:hAnsi="Times New Roman" w:cs="Times New Roman" w:eastAsiaTheme="minorEastAsia"/>
        </w:rPr>
        <w:t>浓度符合国家大气污染物排放标准的要求。本装置年运行时间8400小时。</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512" w:firstLineChars="20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硫磺回收装置</w:t>
      </w:r>
      <w:r>
        <w:rPr>
          <w:rFonts w:hint="default" w:ascii="Times New Roman" w:hAnsi="Times New Roman" w:cs="Times New Roman" w:eastAsiaTheme="minorEastAsia"/>
          <w:lang w:val="en-US" w:eastAsia="zh-CN"/>
        </w:rPr>
        <w:t>设置了1套</w:t>
      </w:r>
      <w:r>
        <w:rPr>
          <w:rFonts w:hint="default" w:ascii="Times New Roman" w:hAnsi="Times New Roman" w:cs="Times New Roman" w:eastAsiaTheme="minorEastAsia"/>
          <w:lang w:val="zh-CN"/>
        </w:rPr>
        <w:t>0.5万吨/年、</w:t>
      </w:r>
      <w:r>
        <w:rPr>
          <w:rFonts w:hint="default" w:ascii="Times New Roman" w:hAnsi="Times New Roman" w:cs="Times New Roman" w:eastAsiaTheme="minorEastAsia"/>
          <w:lang w:val="en-US" w:eastAsia="zh-CN"/>
        </w:rPr>
        <w:t>1套0.8万吨/年</w:t>
      </w:r>
      <w:r>
        <w:rPr>
          <w:rFonts w:hint="default" w:ascii="Times New Roman" w:hAnsi="Times New Roman" w:cs="Times New Roman" w:eastAsiaTheme="minorEastAsia"/>
          <w:lang w:val="zh-CN"/>
        </w:rPr>
        <w:t>，其中酸性水汽提装置设计规模33.6万</w:t>
      </w:r>
      <w:r>
        <w:rPr>
          <w:rFonts w:hint="default" w:ascii="Times New Roman" w:hAnsi="Times New Roman" w:cs="Times New Roman" w:eastAsiaTheme="minorEastAsia"/>
        </w:rPr>
        <w:t>吨/年；溶剂再生装置</w:t>
      </w:r>
      <w:r>
        <w:rPr>
          <w:rFonts w:hint="default" w:ascii="Times New Roman" w:hAnsi="Times New Roman" w:cs="Times New Roman" w:eastAsiaTheme="minorEastAsia"/>
          <w:lang w:val="zh-CN"/>
        </w:rPr>
        <w:t>设计规模11.65万</w:t>
      </w:r>
      <w:r>
        <w:rPr>
          <w:rFonts w:hint="default" w:ascii="Times New Roman" w:hAnsi="Times New Roman" w:cs="Times New Roman" w:eastAsiaTheme="minorEastAsia"/>
        </w:rPr>
        <w:t>吨/年。</w:t>
      </w:r>
    </w:p>
    <w:p>
      <w:pPr>
        <w:pStyle w:val="39"/>
        <w:keepNext w:val="0"/>
        <w:keepLines w:val="0"/>
        <w:pageBreakBefore w:val="0"/>
        <w:widowControl w:val="0"/>
        <w:kinsoku/>
        <w:wordWrap/>
        <w:overflowPunct/>
        <w:topLinePunct w:val="0"/>
        <w:autoSpaceDE/>
        <w:autoSpaceDN/>
        <w:bidi w:val="0"/>
        <w:adjustRightInd w:val="0"/>
        <w:snapToGrid w:val="0"/>
        <w:spacing w:line="560" w:lineRule="exact"/>
        <w:ind w:firstLine="480"/>
        <w:jc w:val="left"/>
        <w:textAlignment w:val="auto"/>
        <w:rPr>
          <w:rFonts w:hint="default" w:ascii="Times New Roman" w:hAnsi="Times New Roman" w:cs="Times New Roman" w:eastAsiaTheme="minorEastAsia"/>
        </w:rPr>
      </w:pPr>
      <w:r>
        <w:rPr>
          <w:rFonts w:hint="default" w:ascii="Times New Roman" w:hAnsi="Times New Roman" w:cs="Times New Roman" w:eastAsiaTheme="minorEastAsia"/>
        </w:rPr>
        <w:t>各部分之间的关系如下：</w:t>
      </w:r>
    </w:p>
    <w:p>
      <w:pPr>
        <w:autoSpaceDE w:val="0"/>
        <w:autoSpaceDN w:val="0"/>
        <w:spacing w:beforeLines="50" w:line="360" w:lineRule="auto"/>
        <w:ind w:firstLine="452" w:firstLineChars="200"/>
        <w:jc w:val="left"/>
        <w:rPr>
          <w:rFonts w:asciiTheme="minorEastAsia" w:hAnsiTheme="minorEastAsia"/>
          <w:sz w:val="24"/>
        </w:rPr>
      </w:pPr>
      <w:r>
        <w:rPr>
          <w:rFonts w:asciiTheme="minorEastAsia" w:hAnsiTheme="minorEastAsia"/>
        </w:rPr>
        <w:object>
          <v:shape id="_x0000_i1026" o:spt="75" type="#_x0000_t75" style="height:148pt;width:388.5pt;" o:ole="t" filled="f" o:preferrelative="t" stroked="f" coordsize="21600,21600">
            <v:path/>
            <v:fill on="f" focussize="0,0"/>
            <v:stroke on="f"/>
            <v:imagedata r:id="rId28" o:title=""/>
            <o:lock v:ext="edit" aspectratio="t"/>
            <w10:wrap type="none"/>
            <w10:anchorlock/>
          </v:shape>
          <o:OLEObject Type="Embed" ProgID="Visio.Drawing.11" ShapeID="_x0000_i1026" DrawAspect="Content" ObjectID="_1468075726" r:id="rId27">
            <o:LockedField>false</o:LockedField>
          </o:OLEObject>
        </w:objec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酸性水汽提装置进料为本项目常压蒸馏装置、连续重整装置、催化裂化装置、柴油加氢精制装置、柴油加氢改质降凝装置以及硫磺回收部分等产生的酸性水，处理后净化水H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S≤20ppm、NH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-N≤50ppm，部分回用，余下排入污水处理场处理。</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溶剂再生装置进料为本项目生产装置气体脱硫产生的各种富含H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S的溶剂，处理后的贫液H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S≤1g/L，循环至本项目上游装置用于气体脱硫；含硫化氢的酸性气进硫磺回收装置生产硫磺。</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硫磺回收装置采用部分燃烧法、经两级转化的常规Claus制硫工艺转化成质量达到GB2449-92 标准中优等品质量标准的固体硫磺产品；尾气采用加氢还原工艺，使尾气达标排放，最终保证总硫回收率达到99.5%以上。</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1、主要工艺技术特点</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酸性水汽提</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采用单塔低压全吹出汽提工艺。</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溶剂再生</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采用常规蒸汽汽提再生工艺法，以复合型MDEA作脱硫剂。</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硫磺回收及尾气处理</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采用部分燃烧、两级转化的常规Claus制硫工艺，尾气处理采用常规SCOT工艺。</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2、工艺流程</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酸性水汽提</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各装置来的混合酸性水进入原料水脱气罐，脱出的轻油气送至火炬系统。脱气后的酸性水进入原料水罐沉降脱油，再经酸性水加压进入原料水除油器进一步除油后进入原料水缓冲罐。自原料缓冲罐和原料水除油器脱出的轻污油自流至地下污油罐，经地下污油泵间断送出装置。除油后的酸性水经原料水泵加压后经原料水－净化水换热器换热与净化水换热后，进入主汽提塔的第一层塔盘。塔底用1.0MPa蒸汽通过重沸器加热汽提。塔顶酸性气用空冷器冷凝冷却后进入回流罐，分离出的冷凝液经泵返塔作为回流，酸性气送至硫磺回收酸性气燃烧炉。汽提塔底净化水与原料水换热后，一部分送至电脱盐装置和加氢装置作工艺注水，剩余部分再经过净化水空冷器和净化水冷却器冷却至40℃，排至含油污水管网。</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原料水罐顶部设置氮封和密闭排放系统，以密闭有害气体的排放，减轻对操作环境的污染。在开工初期，净化水可通过开工循环线返至原料水罐，实现内部循环，直到净化水合格。</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溶剂再生</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来自各装置的富溶剂经贫富液换热器与再生塔塔底来的贫液换热至79℃后进入溶剂再生塔上部。塔底通过重沸器用1.0MPa蒸汽加热量，温度控制在130℃左右。由于重沸器的加热作用，液体中的硫化氢和部分二氧化碳被解析出来，经再生塔塔顶冷凝冷却器冷却至40℃进入再生塔顶回流罐，罐顶部分出的酸性气进入硫磺回收部分，罐底的酸性水经酸性水回流泵，加压后打入再生塔顶部作回流。贫液从塔底出来经换热、冷却后送至各装置循环使用。</w:t>
      </w:r>
    </w:p>
    <w:p>
      <w:pPr>
        <w:pStyle w:val="39"/>
        <w:keepNext w:val="0"/>
        <w:keepLines w:val="0"/>
        <w:pageBreakBefore w:val="0"/>
        <w:widowControl w:val="0"/>
        <w:kinsoku/>
        <w:wordWrap/>
        <w:overflowPunct/>
        <w:topLinePunct w:val="0"/>
        <w:autoSpaceDE/>
        <w:autoSpaceDN/>
        <w:bidi w:val="0"/>
        <w:spacing w:line="560" w:lineRule="exact"/>
        <w:ind w:firstLine="482"/>
        <w:jc w:val="left"/>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硫磺回收及尾气处理</w:t>
      </w:r>
    </w:p>
    <w:p>
      <w:pPr>
        <w:pStyle w:val="39"/>
        <w:keepNext w:val="0"/>
        <w:keepLines w:val="0"/>
        <w:pageBreakBefore w:val="0"/>
        <w:widowControl w:val="0"/>
        <w:kinsoku/>
        <w:wordWrap/>
        <w:overflowPunct/>
        <w:topLinePunct w:val="0"/>
        <w:autoSpaceDE/>
        <w:autoSpaceDN/>
        <w:bidi w:val="0"/>
        <w:spacing w:line="560" w:lineRule="exact"/>
        <w:ind w:firstLine="48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来自酸性水汽提部分和溶剂再生部分的混合酸性气经进入酸性气分液罐分液，然后通过酸性气预热器预热后进入酸性气燃烧炉，按烃类完全燃烧和1/3硫化氢生成二氧化硫控制来自燃烧炉鼓风机的风量，在酸性气进口管道上设有酸性气在线分析仪，分析硫化氢及烃类含量，及时调节风量，使过程气中的硫化氢和二氧化硫尽量接近2:1，最大限度提高硫化氢转化率，提高克劳斯部分硫回收率。燃烧后高温过程气进入余热锅炉产生1.0MPa蒸汽，过程气被冷却至350℃，继续进入一级冷凝冷却器冷却至170℃，液硫从一级冷凝冷却器底部自流经液硫封罐进入硫池。来自一级冷凝冷却器的过程气经一级中压蒸汽加热器加热至240℃，进入一级反应器，在催化剂的作用下，硫化氢与二氧化硫发生反应，生成硫磺。反应后过程气经二级冷凝冷却器冷却至160℃，液硫从二级冷凝冷却器底部自流经液硫封罐进入硫池。来自二级冷凝冷却器的过程气经二级中压蒸汽加热器加热至220℃，进入二级反应器，在催化剂的作用下，硫化氢与二氧化硫继续发生反应生成硫磺。二级反应器的产物进入三级冷凝冷却器，冷却至150℃。液硫从三级冷凝冷却器底部自流经液硫封罐进入硫池。尾气再经液硫捕集器进一步捕集硫雾后，送至尾气处理系统。液硫从硫池经液硫泵加压后进入硫磺造粒机，经包装缝袋后存放在仓库中，用汽车送出装置。硫池中的液硫随着温度的降低会释放出少量硫化氢气体，用蒸汽喷射器抽送至尾气焚烧炉。</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酸性气分液罐分出的酸性液进入酸性液压送罐，酸性液定期用氮气压送至酸性水汽提装置原料水罐进一步处理。</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自液硫捕集器来的硫磺尾气经尾气-烟气换热器换热至280℃后与外来氢气混合进入加氢反应器。在还原水解催化剂的作用下，SO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、COS、CS</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及液硫、气态硫等均被转化成H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S。加氢反应为放热反应，离开反应器后温度为347℃的过程气经尾气废热锅炉换热后进入急冷塔。</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尾气在急冷塔内利用循环急冷水来降温。70℃的急冷水从急冷塔底部流出，经急冷水泵加压后，进入急冷水冷却器冷却至40℃后，进入急冷塔顶部。少部分急冷水经急冷水过滤器过滤后返回急冷水泵入口。急冷水冷却时产生的少量酸性水由急冷水泵送至酸性水汽提装置。为了防止酸性水对设备的腐蚀，需向急冷水中注氨，操作过程中根据pH值的大小，确定注入的氨量。</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自急冷塔顶出来的尾气进入尾气吸收塔，用30%的贫醇胺溶液吸收尾气中的硫化氢。从塔顶出来的净化尾气进入尾气焚烧炉焚烧。通过燃料气的流量控制炉膛温度，在焚烧炉内，尾气中残存的硫化氢及其它硫化物几乎完全转化成二氧化硫，焚烧后的烟气用空气混兑后冷却至400℃，经尾气-烟气换热器换热至350℃经烟囱高空排放。吸收塔底部的富溶剂进入溶剂集中再生部分进行集中再生。</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3、装置主要操作条件</w:t>
      </w:r>
    </w:p>
    <w:p>
      <w:pPr>
        <w:keepNext w:val="0"/>
        <w:keepLines w:val="0"/>
        <w:pageBreakBefore w:val="0"/>
        <w:widowControl w:val="0"/>
        <w:kinsoku/>
        <w:wordWrap/>
        <w:overflowPunct/>
        <w:topLinePunct w:val="0"/>
        <w:autoSpaceDE/>
        <w:autoSpaceDN/>
        <w:bidi w:val="0"/>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本装置主要操作条件见表</w:t>
      </w:r>
      <w:r>
        <w:rPr>
          <w:rFonts w:hint="default" w:ascii="Times New Roman" w:hAnsi="Times New Roman" w:eastAsia="宋体" w:cs="Times New Roman"/>
          <w:sz w:val="24"/>
          <w:szCs w:val="24"/>
          <w:lang w:val="en-US" w:eastAsia="zh-CN"/>
        </w:rPr>
        <w:t>3.</w:t>
      </w:r>
      <w:r>
        <w:rPr>
          <w:rFonts w:hint="eastAsia" w:ascii="Times New Roman" w:hAnsi="Times New Roman" w:eastAsia="宋体" w:cs="Times New Roman"/>
          <w:sz w:val="24"/>
          <w:szCs w:val="24"/>
          <w:lang w:val="en-US" w:eastAsia="zh-CN"/>
        </w:rPr>
        <w:t>1.2</w:t>
      </w:r>
      <w:r>
        <w:rPr>
          <w:rFonts w:hint="default" w:ascii="Times New Roman" w:hAnsi="Times New Roman" w:eastAsia="宋体" w:cs="Times New Roman"/>
          <w:sz w:val="24"/>
          <w:szCs w:val="24"/>
          <w:lang w:val="en-US" w:eastAsia="zh-CN"/>
        </w:rPr>
        <w:t>-20</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560" w:lineRule="exact"/>
        <w:ind w:firstLine="472" w:firstLineChars="200"/>
        <w:jc w:val="center"/>
        <w:textAlignment w:val="auto"/>
        <w:rPr>
          <w:rFonts w:hint="default" w:ascii="Times New Roman" w:hAnsi="Times New Roman" w:cs="Times New Roman"/>
          <w:b/>
          <w:sz w:val="22"/>
        </w:rPr>
      </w:pPr>
      <w:r>
        <w:rPr>
          <w:rFonts w:hint="default" w:ascii="Times New Roman" w:hAnsi="Times New Roman" w:cs="Times New Roman"/>
          <w:b/>
          <w:sz w:val="22"/>
        </w:rPr>
        <w:t>表</w:t>
      </w:r>
      <w:r>
        <w:rPr>
          <w:rFonts w:hint="default" w:ascii="Times New Roman" w:hAnsi="Times New Roman" w:cs="Times New Roman"/>
          <w:b/>
          <w:sz w:val="22"/>
          <w:lang w:val="en-US" w:eastAsia="zh-CN"/>
        </w:rPr>
        <w:t>3.</w:t>
      </w:r>
      <w:r>
        <w:rPr>
          <w:rFonts w:hint="eastAsia" w:ascii="Times New Roman" w:hAnsi="Times New Roman" w:cs="Times New Roman"/>
          <w:b/>
          <w:sz w:val="22"/>
          <w:lang w:val="en-US" w:eastAsia="zh-CN"/>
        </w:rPr>
        <w:t>1.2</w:t>
      </w:r>
      <w:r>
        <w:rPr>
          <w:rFonts w:hint="default" w:ascii="Times New Roman" w:hAnsi="Times New Roman" w:cs="Times New Roman"/>
          <w:b/>
          <w:sz w:val="22"/>
          <w:lang w:val="en-US" w:eastAsia="zh-CN"/>
        </w:rPr>
        <w:t xml:space="preserve">-20  </w:t>
      </w:r>
      <w:r>
        <w:rPr>
          <w:rFonts w:hint="default" w:ascii="Times New Roman" w:hAnsi="Times New Roman" w:cs="Times New Roman"/>
          <w:b/>
          <w:sz w:val="22"/>
        </w:rPr>
        <w:t xml:space="preserve"> 装置主要操作条件表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725"/>
        <w:gridCol w:w="1682"/>
        <w:gridCol w:w="3837"/>
        <w:gridCol w:w="2222"/>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序号</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设备名称</w:t>
            </w: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温度（℃）</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压力（MPa）</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一</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酸性水汽提部分</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主汽提塔</w:t>
            </w: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160</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0.65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二</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溶剂再生部分</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再生塔</w:t>
            </w: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170</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塔底0.5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三</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硫磺回收部分</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酸性气焚烧炉</w:t>
            </w: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1350</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反应器</w:t>
            </w: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一级反应器：入口240，出口285，</w:t>
            </w:r>
          </w:p>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二级反应器：入口220，出口243，</w:t>
            </w:r>
          </w:p>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加氢反应器：入口280，出口347</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一级反应器：0.04</w:t>
            </w:r>
          </w:p>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二级反应器：0.03</w:t>
            </w:r>
          </w:p>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加氢反应器：0.015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急冷塔</w:t>
            </w: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塔底80，塔顶40</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尾气吸收塔</w:t>
            </w: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40</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428"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5</w:t>
            </w:r>
          </w:p>
        </w:tc>
        <w:tc>
          <w:tcPr>
            <w:tcW w:w="993"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尾气焚烧炉</w:t>
            </w:r>
          </w:p>
        </w:tc>
        <w:tc>
          <w:tcPr>
            <w:tcW w:w="2265"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入口650，炉膛800</w:t>
            </w:r>
          </w:p>
        </w:tc>
        <w:tc>
          <w:tcPr>
            <w:tcW w:w="1311" w:type="pct"/>
            <w:tcBorders>
              <w:tl2br w:val="nil"/>
              <w:tr2bl w:val="nil"/>
            </w:tcBorders>
            <w:vAlign w:val="center"/>
          </w:tcPr>
          <w:p>
            <w:pPr>
              <w:jc w:val="center"/>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0.02</w:t>
            </w:r>
          </w:p>
        </w:tc>
      </w:tr>
    </w:tbl>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4、原料、辅助材料和产品</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（1）原料</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①酸性水汽提部分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处理全厂各装置（包括常压装置、催化裂化装置、加氢改质装置、加氢精制装置以及本装置）排放的混合酸性水。</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②溶剂再生部分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处理来自各装置脱硫单元（包括催化干气及液化石油气脱硫单元、加氢改质装置脱硫单元）及硫磺回收尾气处理部分的混合富液。</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混合富溶剂中H</w:t>
      </w:r>
      <w:r>
        <w:rPr>
          <w:rFonts w:hint="default" w:ascii="Times New Roman" w:hAnsi="Times New Roman" w:cs="Times New Roman"/>
          <w:sz w:val="24"/>
          <w:vertAlign w:val="subscript"/>
        </w:rPr>
        <w:t>2</w:t>
      </w:r>
      <w:r>
        <w:rPr>
          <w:rFonts w:hint="default" w:ascii="Times New Roman" w:hAnsi="Times New Roman" w:cs="Times New Roman"/>
          <w:sz w:val="24"/>
        </w:rPr>
        <w:t>S + CO</w:t>
      </w:r>
      <w:r>
        <w:rPr>
          <w:rFonts w:hint="default" w:ascii="Times New Roman" w:hAnsi="Times New Roman" w:cs="Times New Roman"/>
          <w:sz w:val="24"/>
          <w:vertAlign w:val="subscript"/>
        </w:rPr>
        <w:t>2</w:t>
      </w:r>
      <w:r>
        <w:rPr>
          <w:rFonts w:hint="default" w:ascii="Times New Roman" w:hAnsi="Times New Roman" w:cs="Times New Roman"/>
          <w:sz w:val="24"/>
        </w:rPr>
        <w:t>含量：0.13kmol/kmol MDEA。</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③硫磺回收部分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处理来自酸性水汽提和溶剂再生的混合酸性气。</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（2）辅助材料</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cs="Times New Roman"/>
          <w:sz w:val="24"/>
        </w:rPr>
      </w:pPr>
      <w:r>
        <w:rPr>
          <w:rFonts w:hint="default" w:ascii="Times New Roman" w:hAnsi="Times New Roman" w:cs="Times New Roman"/>
          <w:sz w:val="24"/>
        </w:rPr>
        <w:t>辅助材料见表</w:t>
      </w:r>
      <w:r>
        <w:rPr>
          <w:rFonts w:hint="default" w:ascii="Times New Roman" w:hAnsi="Times New Roman" w:cs="Times New Roman"/>
          <w:sz w:val="24"/>
          <w:lang w:val="en-US" w:eastAsia="zh-CN"/>
        </w:rPr>
        <w:t>3.</w:t>
      </w:r>
      <w:r>
        <w:rPr>
          <w:rFonts w:hint="eastAsia" w:ascii="Times New Roman" w:hAnsi="Times New Roman" w:cs="Times New Roman"/>
          <w:sz w:val="24"/>
          <w:lang w:val="en-US" w:eastAsia="zh-CN"/>
        </w:rPr>
        <w:t>1.2</w:t>
      </w:r>
      <w:r>
        <w:rPr>
          <w:rFonts w:hint="default" w:ascii="Times New Roman" w:hAnsi="Times New Roman" w:cs="Times New Roman"/>
          <w:sz w:val="24"/>
          <w:lang w:val="en-US" w:eastAsia="zh-CN"/>
        </w:rPr>
        <w:t>-21</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line="500" w:lineRule="exact"/>
        <w:ind w:firstLine="472" w:firstLineChars="200"/>
        <w:jc w:val="center"/>
        <w:textAlignment w:val="auto"/>
        <w:rPr>
          <w:rFonts w:hint="default" w:ascii="Times New Roman" w:hAnsi="Times New Roman" w:cs="Times New Roman"/>
          <w:b/>
          <w:sz w:val="22"/>
        </w:rPr>
      </w:pPr>
      <w:r>
        <w:rPr>
          <w:rFonts w:hint="default" w:ascii="Times New Roman" w:hAnsi="Times New Roman" w:cs="Times New Roman"/>
          <w:b/>
          <w:sz w:val="22"/>
        </w:rPr>
        <w:t>表</w:t>
      </w:r>
      <w:r>
        <w:rPr>
          <w:rFonts w:hint="default" w:ascii="Times New Roman" w:hAnsi="Times New Roman" w:cs="Times New Roman"/>
          <w:b/>
          <w:sz w:val="22"/>
          <w:lang w:val="en-US" w:eastAsia="zh-CN"/>
        </w:rPr>
        <w:t>3.</w:t>
      </w:r>
      <w:r>
        <w:rPr>
          <w:rFonts w:hint="eastAsia" w:ascii="Times New Roman" w:hAnsi="Times New Roman" w:cs="Times New Roman"/>
          <w:b/>
          <w:sz w:val="22"/>
          <w:lang w:val="en-US" w:eastAsia="zh-CN"/>
        </w:rPr>
        <w:t>1.2</w:t>
      </w:r>
      <w:r>
        <w:rPr>
          <w:rFonts w:hint="default" w:ascii="Times New Roman" w:hAnsi="Times New Roman" w:cs="Times New Roman"/>
          <w:b/>
          <w:sz w:val="22"/>
          <w:lang w:val="en-US" w:eastAsia="zh-CN"/>
        </w:rPr>
        <w:t xml:space="preserve">-21   </w:t>
      </w:r>
      <w:r>
        <w:rPr>
          <w:rFonts w:hint="default" w:ascii="Times New Roman" w:hAnsi="Times New Roman" w:cs="Times New Roman"/>
          <w:b/>
          <w:sz w:val="22"/>
        </w:rPr>
        <w:t>辅助材料表</w:t>
      </w:r>
    </w:p>
    <w:tbl>
      <w:tblPr>
        <w:tblStyle w:val="21"/>
        <w:tblW w:w="5000"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900"/>
        <w:gridCol w:w="1808"/>
        <w:gridCol w:w="1113"/>
        <w:gridCol w:w="1411"/>
        <w:gridCol w:w="2067"/>
        <w:gridCol w:w="1167"/>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序号</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名称</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规格型号</w:t>
            </w: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年用量（t）</w:t>
            </w: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一次装填量（m3）</w:t>
            </w: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预期寿命</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（年）</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酸性水汽提部分</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1.1</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不锈钢散堆填料</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DN38</w:t>
            </w: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4.7</w:t>
            </w: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硫磺回收部分</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2.1</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CLAUS 催化剂</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8.36</w:t>
            </w: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2.2</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加氢催化剂</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4.54</w:t>
            </w: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2.3</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磷酸三钠</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0.1</w:t>
            </w: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0.05t</w:t>
            </w: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2.4</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瓷球</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2.76</w:t>
            </w: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2.5</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编织袋</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60kg</w:t>
            </w: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11万条</w:t>
            </w: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溶剂再生部分</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531"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3.1</w:t>
            </w:r>
          </w:p>
        </w:tc>
        <w:tc>
          <w:tcPr>
            <w:tcW w:w="106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脱硫溶剂MDEA</w:t>
            </w:r>
          </w:p>
        </w:tc>
        <w:tc>
          <w:tcPr>
            <w:tcW w:w="657"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30％</w:t>
            </w:r>
          </w:p>
        </w:tc>
        <w:tc>
          <w:tcPr>
            <w:tcW w:w="833"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c>
          <w:tcPr>
            <w:tcW w:w="1220"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r>
              <w:rPr>
                <w:rFonts w:hint="default" w:ascii="Times New Roman" w:hAnsi="Times New Roman" w:eastAsia="宋体" w:cs="Times New Roman"/>
                <w:kern w:val="0"/>
                <w:sz w:val="21"/>
                <w:szCs w:val="21"/>
              </w:rPr>
              <w:t>60t</w:t>
            </w:r>
          </w:p>
        </w:tc>
        <w:tc>
          <w:tcPr>
            <w:tcW w:w="689" w:type="pc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0"/>
                <w:sz w:val="21"/>
                <w:szCs w:val="21"/>
              </w:rPr>
            </w:pPr>
          </w:p>
        </w:tc>
      </w:tr>
    </w:tbl>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（3）产品</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净化水中H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S≤20ppm，NH</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≤50ppm。</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贫液中H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S≤0.7g/l，CO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≤0.3g/l。</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固体硫磺质量达到GB2449-2006标准中一等品质量标准。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5、装置的“三废”污染源排放</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本装置产生的污染源有废气、废水和废渣三部分。</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废气主要来自尾气焚烧后排出的烟气G</w:t>
      </w:r>
      <w:r>
        <w:rPr>
          <w:rFonts w:hint="default" w:ascii="Times New Roman" w:hAnsi="Times New Roman" w:eastAsia="宋体" w:cs="Times New Roman"/>
          <w:sz w:val="24"/>
          <w:szCs w:val="24"/>
          <w:vertAlign w:val="subscript"/>
        </w:rPr>
        <w:t>1</w:t>
      </w:r>
      <w:r>
        <w:rPr>
          <w:rFonts w:hint="default" w:ascii="Times New Roman" w:hAnsi="Times New Roman" w:eastAsia="宋体" w:cs="Times New Roman"/>
          <w:sz w:val="24"/>
          <w:szCs w:val="24"/>
        </w:rPr>
        <w:t>，主要污染物为SO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、NO</w:t>
      </w:r>
      <w:r>
        <w:rPr>
          <w:rFonts w:hint="default" w:ascii="Times New Roman" w:hAnsi="Times New Roman" w:eastAsia="宋体" w:cs="Times New Roman"/>
          <w:sz w:val="24"/>
          <w:szCs w:val="24"/>
          <w:vertAlign w:val="subscript"/>
        </w:rPr>
        <w:t>X</w:t>
      </w:r>
      <w:r>
        <w:rPr>
          <w:rFonts w:hint="default" w:ascii="Times New Roman" w:hAnsi="Times New Roman" w:eastAsia="宋体" w:cs="Times New Roman"/>
          <w:sz w:val="24"/>
          <w:szCs w:val="24"/>
        </w:rPr>
        <w:t>、烟尘和10ppm以下浓度的H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S。装置无组织排放的气体G</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，主要是少量的H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S、SO</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等。</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废水主要为地面冲洗水、机泵冷却等构成的含油废水W</w:t>
      </w:r>
      <w:r>
        <w:rPr>
          <w:rFonts w:hint="default" w:ascii="Times New Roman" w:hAnsi="Times New Roman" w:eastAsia="宋体" w:cs="Times New Roman"/>
          <w:sz w:val="24"/>
          <w:szCs w:val="24"/>
          <w:vertAlign w:val="subscript"/>
        </w:rPr>
        <w:t>1</w:t>
      </w:r>
      <w:r>
        <w:rPr>
          <w:rFonts w:hint="default" w:ascii="Times New Roman" w:hAnsi="Times New Roman" w:eastAsia="宋体" w:cs="Times New Roman"/>
          <w:sz w:val="24"/>
          <w:szCs w:val="24"/>
        </w:rPr>
        <w:t>；酸性气分液罐和急冷塔底排出的含硫污水W</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；酸性水汽提装置排出的净化污水W</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；生活污水等。蒸汽凝结水回收处理后，不排放。</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废渣主要是硫转化器排出的废硫转化催化剂S</w:t>
      </w:r>
      <w:r>
        <w:rPr>
          <w:rFonts w:hint="default" w:ascii="Times New Roman" w:hAnsi="Times New Roman" w:eastAsia="宋体" w:cs="Times New Roman"/>
          <w:sz w:val="24"/>
          <w:szCs w:val="24"/>
          <w:vertAlign w:val="subscript"/>
        </w:rPr>
        <w:t>1</w:t>
      </w:r>
      <w:r>
        <w:rPr>
          <w:rFonts w:hint="default" w:ascii="Times New Roman" w:hAnsi="Times New Roman" w:eastAsia="宋体" w:cs="Times New Roman"/>
          <w:sz w:val="24"/>
          <w:szCs w:val="24"/>
        </w:rPr>
        <w:t>；尾气加氢反应器排出的废催化剂S</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；废活性碳S</w:t>
      </w:r>
      <w:r>
        <w:rPr>
          <w:rFonts w:hint="default" w:ascii="Times New Roman" w:hAnsi="Times New Roman" w:eastAsia="宋体" w:cs="Times New Roman"/>
          <w:sz w:val="24"/>
          <w:szCs w:val="24"/>
          <w:vertAlign w:val="subscript"/>
        </w:rPr>
        <w:t>3</w:t>
      </w:r>
      <w:r>
        <w:rPr>
          <w:rFonts w:hint="default" w:ascii="Times New Roman" w:hAnsi="Times New Roman" w:eastAsia="宋体" w:cs="Times New Roman"/>
          <w:sz w:val="24"/>
          <w:szCs w:val="24"/>
        </w:rPr>
        <w:t>等。</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工艺流程见</w:t>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REF _Ref503180919 \h  \* MERGEFORMAT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图</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pPr>
      <w:bookmarkStart w:id="150" w:name="_Ref503180919"/>
      <w:r>
        <w:object>
          <v:shape id="_x0000_i1027" o:spt="75" type="#_x0000_t75" style="height:256.65pt;width:409.25pt;" o:ole="t" filled="f" o:preferrelative="t" stroked="f" coordsize="21600,21600">
            <v:path/>
            <v:fill on="f" focussize="0,0"/>
            <v:stroke on="f"/>
            <v:imagedata r:id="rId30" o:title=""/>
            <o:lock v:ext="edit" aspectratio="t"/>
            <w10:wrap type="none"/>
            <w10:anchorlock/>
          </v:shape>
          <o:OLEObject Type="Embed" ProgID="Visio.Drawing.11" ShapeID="_x0000_i1027" DrawAspect="Content" ObjectID="_1468075727" r:id="rId29">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b/>
          <w:sz w:val="24"/>
          <w:szCs w:val="20"/>
        </w:rPr>
      </w:pPr>
      <w:r>
        <w:rPr>
          <w:rFonts w:hint="default" w:ascii="Times New Roman" w:hAnsi="Times New Roman" w:cs="Times New Roman"/>
          <w:b/>
          <w:sz w:val="24"/>
          <w:szCs w:val="20"/>
        </w:rPr>
        <w:t>图</w:t>
      </w:r>
      <w:bookmarkEnd w:id="150"/>
      <w:r>
        <w:rPr>
          <w:rFonts w:hint="default" w:ascii="Times New Roman" w:hAnsi="Times New Roman" w:cs="Times New Roman"/>
          <w:b/>
          <w:sz w:val="24"/>
          <w:szCs w:val="20"/>
          <w:lang w:val="en-US" w:eastAsia="zh-CN"/>
        </w:rPr>
        <w:t>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-14</w:t>
      </w:r>
      <w:r>
        <w:rPr>
          <w:rFonts w:hint="default" w:ascii="Times New Roman" w:hAnsi="Times New Roman" w:cs="Times New Roman"/>
          <w:b/>
          <w:sz w:val="24"/>
          <w:szCs w:val="20"/>
        </w:rPr>
        <w:t>硫磺回收装置工艺流程图</w:t>
      </w:r>
    </w:p>
    <w:p>
      <w:pPr>
        <w:pStyle w:val="6"/>
        <w:bidi w:val="0"/>
        <w:rPr>
          <w:rFonts w:cs="Times New Roman"/>
          <w:szCs w:val="24"/>
        </w:rPr>
      </w:pPr>
      <w:r>
        <w:rPr>
          <w:rFonts w:hint="eastAsia"/>
          <w:lang w:val="en-US" w:eastAsia="zh-CN"/>
        </w:rPr>
        <w:t>3.1.2.4</w:t>
      </w:r>
      <w:r>
        <w:rPr>
          <w:rFonts w:cs="Times New Roman"/>
          <w:szCs w:val="24"/>
        </w:rPr>
        <w:t>丙烷脱氢项目</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1.反应再生及主风机部分</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经反应油气-丙烷原料换热器（E-201）预热后的丙烷原料气体，送至原料预热炉（F-101）进一步升温后进入反应器（R-101）底部，通过分布器均匀分配后进入催化剂床层进行脱氢反应。反应油气经稀相管出口快分气固分离，催化剂进入二密相，气相进入反应器稀相，在稀相经过两级旋风分离器与催化剂分离后离开反应器，经反应油气-丙烷原料换热器（E-201）冷却后进入反应油气水洗塔（C-202）。</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反应器二密相内的待生催化剂经待生斜管靠重力流输送至再生器（R-102）烧焦罐床层与主风接触烧焦。烟气与再生催化剂经过稀相管出口快分进行初步分离，催化剂进入二密相，一部分进入再生催化剂汽提段，汽提后经再生斜管靠重力流进入反应器床层，二密相其余催化剂经外循环管滑阀返回烧焦罐底部，目的是提高烧焦罐底部温度，满足补燃的燃料气的起燃温度要求。烟气经两级旋风分离器，分离出催化剂细粉后，先送至余热锅炉（B-501），再送至烟气水洗塔（C-201）。</w:t>
      </w:r>
    </w:p>
    <w:p>
      <w:pPr>
        <w:pStyle w:val="18"/>
        <w:spacing w:before="0" w:beforeAutospacing="0" w:after="0" w:afterAutospacing="0" w:line="360" w:lineRule="auto"/>
        <w:ind w:firstLine="512" w:firstLineChars="200"/>
        <w:rPr>
          <w:rFonts w:hint="default" w:ascii="Times New Roman" w:hAnsi="Times New Roman"/>
          <w:kern w:val="2"/>
        </w:rPr>
      </w:pPr>
      <w:r>
        <w:rPr>
          <w:rFonts w:hint="default" w:ascii="Times New Roman" w:hAnsi="Times New Roman"/>
          <w:kern w:val="2"/>
        </w:rPr>
        <w:t>由于丙烷脱氢反应过程生焦量太低无法维持热平衡，因此烧焦罐密相需引入燃料气，通过燃料气燃烧放热维持装置整体热平衡。再生器烧焦及补燃所需的主风由主风机（K-101）提供。本反应的生焦率约为1%，所产生的焦炭附着与待生催化剂上，待生催化剂进入再生器后，其上的焦炭会燃烧并生成碳氧化物随烟气排放。由于本反应的生焦率很低，因此烧焦所产生的热量并不能维持再生器的操作温度，因此需要通过补充燃料气来升温将再生温度维持在700°C以上。这是由于丙烷脱氢反应是强吸热反应，需要通过再生后的高温催化剂将携带热量返回反应器，为反应提供足够的热量。本反应的催化剂，在正常反应过程中不会发生中毒或失活，催化剂的损耗仅来源于细粉跑损。</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反应相关方程式如下：</w:t>
      </w:r>
    </w:p>
    <w:p>
      <w:pPr>
        <w:tabs>
          <w:tab w:val="left" w:pos="4246"/>
        </w:tabs>
        <w:spacing w:line="360" w:lineRule="auto"/>
        <w:ind w:firstLine="512" w:firstLineChars="200"/>
        <w:rPr>
          <w:sz w:val="24"/>
        </w:rPr>
      </w:pPr>
      <w:r>
        <w:rPr>
          <w:sz w:val="24"/>
        </w:rPr>
        <w:t>丙烷脱氢的主反应为：</w:t>
      </w:r>
    </w:p>
    <w:p>
      <w:pPr>
        <w:tabs>
          <w:tab w:val="left" w:pos="4246"/>
        </w:tabs>
        <w:spacing w:line="360" w:lineRule="auto"/>
        <w:ind w:firstLine="512" w:firstLineChars="200"/>
        <w:rPr>
          <w:sz w:val="12"/>
          <w:lang w:val="pt-BR"/>
        </w:rPr>
      </w:pPr>
      <w:r>
        <w:rPr>
          <w:i/>
          <w:sz w:val="24"/>
          <w:lang w:val="pt-BR"/>
        </w:rPr>
        <w:t>C</w:t>
      </w:r>
      <w:r>
        <w:rPr>
          <w:sz w:val="14"/>
          <w:lang w:val="pt-BR"/>
        </w:rPr>
        <w:t xml:space="preserve">3 </w:t>
      </w:r>
      <w:r>
        <w:rPr>
          <w:i/>
          <w:sz w:val="24"/>
          <w:lang w:val="pt-BR"/>
        </w:rPr>
        <w:t>H</w:t>
      </w:r>
      <w:r>
        <w:rPr>
          <w:sz w:val="14"/>
          <w:lang w:val="pt-BR"/>
        </w:rPr>
        <w:t xml:space="preserve">8 </w:t>
      </w:r>
      <w:r>
        <w:rPr>
          <w:lang w:val="pt-BR"/>
        </w:rPr>
        <w:t>→</w:t>
      </w:r>
      <w:r>
        <w:rPr>
          <w:i/>
          <w:sz w:val="24"/>
          <w:lang w:val="pt-BR"/>
        </w:rPr>
        <w:t>C</w:t>
      </w:r>
      <w:r>
        <w:rPr>
          <w:sz w:val="14"/>
          <w:lang w:val="pt-BR"/>
        </w:rPr>
        <w:t xml:space="preserve">3 </w:t>
      </w:r>
      <w:r>
        <w:rPr>
          <w:i/>
          <w:sz w:val="24"/>
          <w:lang w:val="pt-BR"/>
        </w:rPr>
        <w:t xml:space="preserve">H </w:t>
      </w:r>
      <w:r>
        <w:rPr>
          <w:sz w:val="14"/>
          <w:lang w:val="pt-BR"/>
        </w:rPr>
        <w:t xml:space="preserve">6 </w:t>
      </w:r>
      <w:r>
        <w:rPr>
          <w:rFonts w:hint="eastAsia"/>
          <w:sz w:val="24"/>
        </w:rPr>
        <w:t>+</w:t>
      </w:r>
      <w:r>
        <w:rPr>
          <w:sz w:val="24"/>
          <w:lang w:val="pt-BR"/>
        </w:rPr>
        <w:t xml:space="preserve"> </w:t>
      </w:r>
      <w:r>
        <w:rPr>
          <w:i/>
          <w:sz w:val="24"/>
          <w:lang w:val="pt-BR"/>
        </w:rPr>
        <w:t xml:space="preserve">H </w:t>
      </w:r>
      <w:r>
        <w:rPr>
          <w:sz w:val="14"/>
          <w:lang w:val="pt-BR"/>
        </w:rPr>
        <w:t xml:space="preserve">2                      </w:t>
      </w:r>
      <w:r>
        <w:rPr>
          <w:sz w:val="24"/>
        </w:rPr>
        <w:t></w:t>
      </w:r>
      <w:r>
        <w:rPr>
          <w:i/>
          <w:sz w:val="24"/>
          <w:lang w:val="pt-BR"/>
        </w:rPr>
        <w:t xml:space="preserve">H </w:t>
      </w:r>
      <w:r>
        <w:rPr>
          <w:i/>
          <w:sz w:val="14"/>
          <w:lang w:val="pt-BR"/>
        </w:rPr>
        <w:t xml:space="preserve">o </w:t>
      </w:r>
      <w:r>
        <w:rPr>
          <w:rFonts w:hint="eastAsia"/>
          <w:sz w:val="24"/>
        </w:rPr>
        <w:t>-</w:t>
      </w:r>
      <w:r>
        <w:rPr>
          <w:sz w:val="24"/>
          <w:lang w:val="pt-BR"/>
        </w:rPr>
        <w:t>124.3</w:t>
      </w:r>
      <w:r>
        <w:rPr>
          <w:i/>
          <w:sz w:val="24"/>
          <w:lang w:val="pt-BR"/>
        </w:rPr>
        <w:t xml:space="preserve">kJ </w:t>
      </w:r>
      <w:r>
        <w:rPr>
          <w:sz w:val="24"/>
          <w:lang w:val="pt-BR"/>
        </w:rPr>
        <w:t xml:space="preserve">/ </w:t>
      </w:r>
      <w:r>
        <w:rPr>
          <w:i/>
          <w:sz w:val="24"/>
          <w:lang w:val="pt-BR"/>
        </w:rPr>
        <w:t>mol</w:t>
      </w:r>
    </w:p>
    <w:p>
      <w:pPr>
        <w:pStyle w:val="9"/>
        <w:tabs>
          <w:tab w:val="left" w:pos="3766"/>
        </w:tabs>
        <w:spacing w:after="0" w:line="360" w:lineRule="auto"/>
        <w:ind w:firstLine="512" w:firstLineChars="200"/>
      </w:pPr>
      <w:r>
        <w:rPr>
          <w:sz w:val="24"/>
        </w:rPr>
        <w:t>在反应的过程中，还伴随有副反应的发生，</w:t>
      </w:r>
      <w:r>
        <w:t>如：</w:t>
      </w:r>
    </w:p>
    <w:p>
      <w:pPr>
        <w:pStyle w:val="9"/>
        <w:tabs>
          <w:tab w:val="left" w:pos="3766"/>
        </w:tabs>
        <w:spacing w:after="0" w:line="360" w:lineRule="auto"/>
        <w:ind w:firstLine="512" w:firstLineChars="200"/>
        <w:rPr>
          <w:sz w:val="12"/>
          <w:lang w:val="pt-BR"/>
        </w:rPr>
      </w:pPr>
      <w:r>
        <w:t xml:space="preserve"> </w:t>
      </w:r>
      <w:r>
        <w:rPr>
          <w:lang w:val="pt-BR"/>
        </w:rPr>
        <w:t>C</w:t>
      </w:r>
      <w:r>
        <w:rPr>
          <w:sz w:val="12"/>
          <w:lang w:val="pt-BR"/>
        </w:rPr>
        <w:t>3</w:t>
      </w:r>
      <w:r>
        <w:rPr>
          <w:lang w:val="pt-BR"/>
        </w:rPr>
        <w:t>H</w:t>
      </w:r>
      <w:r>
        <w:rPr>
          <w:sz w:val="12"/>
          <w:lang w:val="pt-BR"/>
        </w:rPr>
        <w:t>8</w:t>
      </w:r>
      <w:r>
        <w:rPr>
          <w:lang w:val="pt-BR"/>
        </w:rPr>
        <w:t>→CH</w:t>
      </w:r>
      <w:r>
        <w:rPr>
          <w:sz w:val="12"/>
          <w:lang w:val="pt-BR"/>
        </w:rPr>
        <w:t>4</w:t>
      </w:r>
      <w:r>
        <w:rPr>
          <w:lang w:val="pt-BR"/>
        </w:rPr>
        <w:t>+C</w:t>
      </w:r>
      <w:r>
        <w:rPr>
          <w:sz w:val="12"/>
          <w:lang w:val="pt-BR"/>
        </w:rPr>
        <w:t>2</w:t>
      </w:r>
      <w:r>
        <w:rPr>
          <w:lang w:val="pt-BR"/>
        </w:rPr>
        <w:t>H</w:t>
      </w:r>
      <w:r>
        <w:rPr>
          <w:sz w:val="12"/>
          <w:lang w:val="pt-BR"/>
        </w:rPr>
        <w:t xml:space="preserve">4                 </w:t>
      </w:r>
      <w:r>
        <w:rPr>
          <w:sz w:val="24"/>
          <w:lang w:val="pt-BR"/>
        </w:rPr>
        <w:t>C</w:t>
      </w:r>
      <w:r>
        <w:rPr>
          <w:sz w:val="12"/>
          <w:lang w:val="pt-BR"/>
        </w:rPr>
        <w:t>2</w:t>
      </w:r>
      <w:r>
        <w:rPr>
          <w:sz w:val="24"/>
          <w:lang w:val="pt-BR"/>
        </w:rPr>
        <w:t>H</w:t>
      </w:r>
      <w:r>
        <w:rPr>
          <w:sz w:val="12"/>
          <w:lang w:val="pt-BR"/>
        </w:rPr>
        <w:t>4</w:t>
      </w:r>
      <w:r>
        <w:rPr>
          <w:sz w:val="24"/>
          <w:lang w:val="pt-BR"/>
        </w:rPr>
        <w:t>+H</w:t>
      </w:r>
      <w:r>
        <w:rPr>
          <w:sz w:val="12"/>
          <w:lang w:val="pt-BR"/>
        </w:rPr>
        <w:t>2</w:t>
      </w:r>
      <w:r>
        <w:rPr>
          <w:sz w:val="24"/>
          <w:lang w:val="pt-BR"/>
        </w:rPr>
        <w:t>→C</w:t>
      </w:r>
      <w:r>
        <w:rPr>
          <w:sz w:val="12"/>
          <w:lang w:val="pt-BR"/>
        </w:rPr>
        <w:t>2</w:t>
      </w:r>
      <w:r>
        <w:rPr>
          <w:sz w:val="24"/>
          <w:lang w:val="pt-BR"/>
        </w:rPr>
        <w:t>H</w:t>
      </w:r>
      <w:r>
        <w:rPr>
          <w:sz w:val="12"/>
          <w:lang w:val="pt-BR"/>
        </w:rPr>
        <w:t>6</w:t>
      </w:r>
      <w:r>
        <w:rPr>
          <w:sz w:val="12"/>
          <w:lang w:val="pt-BR"/>
        </w:rPr>
        <w:tab/>
      </w:r>
      <w:r>
        <w:rPr>
          <w:sz w:val="12"/>
          <w:lang w:val="pt-BR"/>
        </w:rPr>
        <w:t xml:space="preserve">           </w:t>
      </w:r>
      <w:r>
        <w:rPr>
          <w:sz w:val="24"/>
          <w:lang w:val="pt-BR"/>
        </w:rPr>
        <w:t>C</w:t>
      </w:r>
      <w:r>
        <w:rPr>
          <w:sz w:val="12"/>
          <w:lang w:val="pt-BR"/>
        </w:rPr>
        <w:t>2</w:t>
      </w:r>
      <w:r>
        <w:rPr>
          <w:sz w:val="24"/>
          <w:lang w:val="pt-BR"/>
        </w:rPr>
        <w:t>H</w:t>
      </w:r>
      <w:r>
        <w:rPr>
          <w:sz w:val="12"/>
          <w:lang w:val="pt-BR"/>
        </w:rPr>
        <w:t>2</w:t>
      </w:r>
      <w:r>
        <w:rPr>
          <w:sz w:val="24"/>
          <w:lang w:val="pt-BR"/>
        </w:rPr>
        <w:t>+2H</w:t>
      </w:r>
      <w:r>
        <w:rPr>
          <w:sz w:val="12"/>
          <w:lang w:val="pt-BR"/>
        </w:rPr>
        <w:t>2</w:t>
      </w:r>
      <w:r>
        <w:rPr>
          <w:sz w:val="24"/>
          <w:lang w:val="pt-BR"/>
        </w:rPr>
        <w:t>→C</w:t>
      </w:r>
      <w:r>
        <w:rPr>
          <w:sz w:val="12"/>
          <w:lang w:val="pt-BR"/>
        </w:rPr>
        <w:t>2</w:t>
      </w:r>
      <w:r>
        <w:rPr>
          <w:sz w:val="24"/>
          <w:lang w:val="pt-BR"/>
        </w:rPr>
        <w:t>H</w:t>
      </w:r>
      <w:r>
        <w:rPr>
          <w:sz w:val="12"/>
          <w:lang w:val="pt-BR"/>
        </w:rPr>
        <w:t>6</w:t>
      </w:r>
    </w:p>
    <w:p>
      <w:pPr>
        <w:tabs>
          <w:tab w:val="left" w:pos="3706"/>
        </w:tabs>
        <w:spacing w:line="360" w:lineRule="auto"/>
        <w:ind w:firstLine="512" w:firstLineChars="200"/>
        <w:rPr>
          <w:sz w:val="12"/>
          <w:lang w:val="pt-BR"/>
        </w:rPr>
      </w:pPr>
      <w:r>
        <w:rPr>
          <w:sz w:val="24"/>
          <w:lang w:val="pt-BR"/>
        </w:rPr>
        <w:t>C</w:t>
      </w:r>
      <w:r>
        <w:rPr>
          <w:sz w:val="12"/>
          <w:lang w:val="pt-BR"/>
        </w:rPr>
        <w:t>3</w:t>
      </w:r>
      <w:r>
        <w:rPr>
          <w:sz w:val="24"/>
          <w:lang w:val="pt-BR"/>
        </w:rPr>
        <w:t>H</w:t>
      </w:r>
      <w:r>
        <w:rPr>
          <w:sz w:val="12"/>
          <w:lang w:val="pt-BR"/>
        </w:rPr>
        <w:t>6</w:t>
      </w:r>
      <w:r>
        <w:rPr>
          <w:sz w:val="24"/>
          <w:lang w:val="pt-BR"/>
        </w:rPr>
        <w:t>+CH</w:t>
      </w:r>
      <w:r>
        <w:rPr>
          <w:sz w:val="12"/>
          <w:lang w:val="pt-BR"/>
        </w:rPr>
        <w:t>4</w:t>
      </w:r>
      <w:r>
        <w:rPr>
          <w:sz w:val="24"/>
          <w:lang w:val="pt-BR"/>
        </w:rPr>
        <w:t>→C</w:t>
      </w:r>
      <w:r>
        <w:rPr>
          <w:sz w:val="12"/>
          <w:lang w:val="pt-BR"/>
        </w:rPr>
        <w:t>4</w:t>
      </w:r>
      <w:r>
        <w:rPr>
          <w:sz w:val="24"/>
          <w:lang w:val="pt-BR"/>
        </w:rPr>
        <w:t>H</w:t>
      </w:r>
      <w:r>
        <w:rPr>
          <w:sz w:val="12"/>
          <w:lang w:val="pt-BR"/>
        </w:rPr>
        <w:t xml:space="preserve">10             </w:t>
      </w:r>
      <w:r>
        <w:rPr>
          <w:sz w:val="24"/>
          <w:lang w:val="pt-BR"/>
        </w:rPr>
        <w:t>C</w:t>
      </w:r>
      <w:r>
        <w:rPr>
          <w:sz w:val="12"/>
          <w:lang w:val="pt-BR"/>
        </w:rPr>
        <w:t>4</w:t>
      </w:r>
      <w:r>
        <w:rPr>
          <w:sz w:val="24"/>
          <w:lang w:val="pt-BR"/>
        </w:rPr>
        <w:t>H</w:t>
      </w:r>
      <w:r>
        <w:rPr>
          <w:sz w:val="12"/>
          <w:lang w:val="pt-BR"/>
        </w:rPr>
        <w:t>10</w:t>
      </w:r>
      <w:r>
        <w:rPr>
          <w:sz w:val="24"/>
          <w:lang w:val="pt-BR"/>
        </w:rPr>
        <w:t>→C</w:t>
      </w:r>
      <w:r>
        <w:rPr>
          <w:sz w:val="12"/>
          <w:lang w:val="pt-BR"/>
        </w:rPr>
        <w:t>4</w:t>
      </w:r>
      <w:r>
        <w:rPr>
          <w:sz w:val="24"/>
          <w:lang w:val="pt-BR"/>
        </w:rPr>
        <w:t>H</w:t>
      </w:r>
      <w:r>
        <w:rPr>
          <w:sz w:val="12"/>
          <w:lang w:val="pt-BR"/>
        </w:rPr>
        <w:t>8</w:t>
      </w:r>
      <w:r>
        <w:rPr>
          <w:sz w:val="24"/>
          <w:lang w:val="pt-BR"/>
        </w:rPr>
        <w:t>+H</w:t>
      </w:r>
      <w:r>
        <w:rPr>
          <w:sz w:val="12"/>
          <w:lang w:val="pt-BR"/>
        </w:rPr>
        <w:t xml:space="preserve">2               </w:t>
      </w:r>
      <w:r>
        <w:rPr>
          <w:sz w:val="24"/>
          <w:lang w:val="pt-BR"/>
        </w:rPr>
        <w:t>C</w:t>
      </w:r>
      <w:r>
        <w:rPr>
          <w:sz w:val="12"/>
          <w:lang w:val="pt-BR"/>
        </w:rPr>
        <w:t>4</w:t>
      </w:r>
      <w:r>
        <w:rPr>
          <w:sz w:val="24"/>
          <w:lang w:val="pt-BR"/>
        </w:rPr>
        <w:t>H</w:t>
      </w:r>
      <w:r>
        <w:rPr>
          <w:sz w:val="12"/>
          <w:lang w:val="pt-BR"/>
        </w:rPr>
        <w:t>8</w:t>
      </w:r>
      <w:r>
        <w:rPr>
          <w:sz w:val="24"/>
          <w:lang w:val="pt-BR"/>
        </w:rPr>
        <w:t>→C</w:t>
      </w:r>
      <w:r>
        <w:rPr>
          <w:sz w:val="12"/>
          <w:lang w:val="pt-BR"/>
        </w:rPr>
        <w:t>4</w:t>
      </w:r>
      <w:r>
        <w:rPr>
          <w:sz w:val="24"/>
          <w:lang w:val="pt-BR"/>
        </w:rPr>
        <w:t>H</w:t>
      </w:r>
      <w:r>
        <w:rPr>
          <w:sz w:val="12"/>
          <w:lang w:val="pt-BR"/>
        </w:rPr>
        <w:t>6</w:t>
      </w:r>
      <w:r>
        <w:rPr>
          <w:sz w:val="24"/>
          <w:lang w:val="pt-BR"/>
        </w:rPr>
        <w:t>+H</w:t>
      </w:r>
      <w:r>
        <w:rPr>
          <w:sz w:val="12"/>
          <w:lang w:val="pt-BR"/>
        </w:rPr>
        <w:t xml:space="preserve">2  </w:t>
      </w:r>
    </w:p>
    <w:p>
      <w:pPr>
        <w:tabs>
          <w:tab w:val="left" w:pos="3706"/>
        </w:tabs>
        <w:spacing w:line="360" w:lineRule="auto"/>
        <w:ind w:firstLine="272" w:firstLineChars="200"/>
        <w:rPr>
          <w:sz w:val="12"/>
        </w:rPr>
      </w:pPr>
      <w:r>
        <w:rPr>
          <w:sz w:val="12"/>
          <w:lang w:val="pt-BR"/>
        </w:rPr>
        <w:t xml:space="preserve">     </w:t>
      </w:r>
      <w:r>
        <w:rPr>
          <w:sz w:val="24"/>
        </w:rPr>
        <w:t>C</w:t>
      </w:r>
      <w:r>
        <w:rPr>
          <w:sz w:val="12"/>
        </w:rPr>
        <w:t>4</w:t>
      </w:r>
      <w:r>
        <w:rPr>
          <w:sz w:val="24"/>
        </w:rPr>
        <w:t>H</w:t>
      </w:r>
      <w:r>
        <w:rPr>
          <w:sz w:val="12"/>
        </w:rPr>
        <w:t>1</w:t>
      </w:r>
      <w:r>
        <w:rPr>
          <w:sz w:val="24"/>
        </w:rPr>
        <w:t>0→C</w:t>
      </w:r>
      <w:r>
        <w:rPr>
          <w:sz w:val="12"/>
        </w:rPr>
        <w:t>4</w:t>
      </w:r>
      <w:r>
        <w:rPr>
          <w:sz w:val="24"/>
        </w:rPr>
        <w:t>H</w:t>
      </w:r>
      <w:r>
        <w:rPr>
          <w:sz w:val="12"/>
        </w:rPr>
        <w:t>6</w:t>
      </w:r>
      <w:r>
        <w:rPr>
          <w:sz w:val="24"/>
        </w:rPr>
        <w:t>+2H</w:t>
      </w:r>
      <w:r>
        <w:rPr>
          <w:sz w:val="12"/>
        </w:rPr>
        <w:t>2</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2.水洗及余热锅炉部分</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（1）油气水洗部分：</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冷却后的反应油气进入反应油气洗涤塔（C-202）下部，油气在洗涤塔内顺序经过两段水洗后脱除油气中携带的催化剂细粉，并将油气温度降到40℃左右后进入富气压缩机（K-301），经过三级压缩后的富气冷却后送至吸收稳定部分。</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洗涤塔下段洗涤水从洗涤塔底自流进入洗涤水沉降罐（D-202），沉降后的催化剂浓浆经反应油气浓浆泵（P-204AB）送至催化装置进行处理。沉降罐清液经净化水泵（P-203AB）加压后，一部分送至烟气洗涤水沉降罐（D-201），一部分返回洗涤塔下段人字挡板上部。上段洗涤水从塔盘下部集油箱抽出后，通过洗涤塔中段水循环泵（P-206AB）加压，大部分经反应油气上段洗涤水水冷器（E-205）降温至40℃，并返回反应油气洗涤塔（C-202）塔顶，洗涤塔顶部设有除盐水补水线。少量上段洗涤水返回洗涤塔下段人字挡板上部。</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气压机部分收集的含油污水均返回水洗部分进行循环利用。</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（2）烟气水洗部分：</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再生器出口烟气进入余热锅炉（B-501）回收热量后，进入烟气洗涤塔（C-201）下部，烟气在洗涤塔内经过水洗后脱除烟气中携带的催化剂细粉后排入大气。</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烟气洗涤塔共设一个洗涤段，包括10层挡板和4层塔板。塔底洗涤水自流进入烟气洗涤水沉降罐（D-201），沉降后浓浆经烟气浓浆泵（P-201AB）送至油气洗涤水沉降罐（D-202）。清液经由烟气洗涤水循环泵（P-202AB）加压并通过烟气洗涤水冷却器（E-203）冷却后，返回塔顶。</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（3）吸收稳定及丙烷汽化部分</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来自罐区的液相丙烷送至丙烷原料汽化罐（D-303），罐下设置两台热虹吸式丙烷汽化器（E-308、E-309），其中循环汽油-丙烷汽化器（E-308）使用循环汽油作为热源，凝结水-丙烷汽化器（E-309）使用稳定塔底重沸器加热蒸汽凝结水作为热源。汽化后的丙烷气体经过丙烷原料-循环汽油换热器（E-307），送至反应油气-丙烷原料换热器（E-201）。</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富气自反应油气水洗塔（C-202）塔顶至富气压缩机（K-301）进行三级压缩，经过冷却和分液后的气相进入吸收塔（C-301）塔底。吸收剂自吸收塔塔顶进入，吸收塔设置两个冷却中段。塔顶干气送至PSA II装置，塔底油经过吸收塔底油泵（P-301AB）压送至稳定塔进料换热器（E-310），与稳定塔底油换热后进入稳定塔（C-302）。</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稳定塔顶分离出混合碳三后，送至气分装置进行进一步分离。稳定塔顶回流罐（D-304）气相经稳定塔顶不凝气过冷器（E-313）冷却至15℃，进入稳定塔顶不凝气分液罐（D-306）,该罐气相返回气压机出口，液相自流回稳定塔顶回流罐（D-304）。稳定塔底循环汽油（即作为循环吸收剂的加氢轻汽油）依次给稳定塔进料、丙烷原料和丙烷气化器加热后，冷却至15℃返回吸收塔顶，为避免二烯烃及C5以上组分累积，加氢汽油外甩约2.7 t/h返回催化汽油加氢装置。</w:t>
      </w:r>
    </w:p>
    <w:p>
      <w:pPr>
        <w:pStyle w:val="18"/>
        <w:spacing w:before="0" w:beforeAutospacing="0" w:after="0" w:afterAutospacing="0" w:line="360" w:lineRule="auto"/>
        <w:ind w:firstLine="477" w:firstLineChars="187"/>
        <w:rPr>
          <w:rFonts w:hint="default" w:ascii="Times New Roman" w:hAnsi="Times New Roman"/>
          <w:kern w:val="2"/>
        </w:rPr>
      </w:pPr>
      <w:r>
        <w:rPr>
          <w:rFonts w:ascii="Times New Roman" w:hAnsi="Times New Roman"/>
          <w:kern w:val="2"/>
        </w:rPr>
        <w:t>本装置丙烷单程转化率为37%，丙烷循环转化，直至转化完全，丙烯产品理论收率为86%。</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（4）制冷机组部分</w:t>
      </w:r>
    </w:p>
    <w:p>
      <w:pPr>
        <w:pStyle w:val="18"/>
        <w:spacing w:before="0" w:beforeAutospacing="0" w:after="0" w:afterAutospacing="0" w:line="360" w:lineRule="auto"/>
        <w:ind w:firstLine="477" w:firstLineChars="187"/>
        <w:rPr>
          <w:rFonts w:hint="default" w:ascii="Times New Roman" w:hAnsi="Times New Roman"/>
          <w:kern w:val="2"/>
        </w:rPr>
      </w:pPr>
      <w:r>
        <w:rPr>
          <w:rFonts w:hint="default" w:ascii="Times New Roman" w:hAnsi="Times New Roman"/>
          <w:kern w:val="2"/>
        </w:rPr>
        <w:t>热水型溴化锂制冷机组（WCH-501）所产生的7℃冷媒水经泵压送至各冷媒水用水点后，升温至12℃返回该撬装。</w:t>
      </w:r>
    </w:p>
    <w:p>
      <w:pPr>
        <w:adjustRightInd w:val="0"/>
        <w:snapToGrid w:val="0"/>
        <w:jc w:val="center"/>
        <w:rPr>
          <w:rFonts w:hint="eastAsia"/>
          <w:sz w:val="24"/>
        </w:rPr>
      </w:pPr>
      <w:r>
        <w:rPr>
          <w:rFonts w:eastAsia="Calibri"/>
          <w:sz w:val="24"/>
        </w:rPr>
        <w:object>
          <v:shape id="_x0000_i1028" o:spt="75" type="#_x0000_t75" style="height:282.6pt;width:422.75pt;" o:ole="t" filled="f" o:preferrelative="t" stroked="f" coordsize="21600,21600">
            <v:path/>
            <v:fill on="f" focussize="0,0"/>
            <v:stroke on="f"/>
            <v:imagedata r:id="rId32" o:title=""/>
            <o:lock v:ext="edit" aspectratio="f"/>
            <w10:wrap type="none"/>
            <w10:anchorlock/>
          </v:shape>
          <o:OLEObject Type="Embed" ProgID="Visio.Drawing.11" ShapeID="_x0000_i1028" DrawAspect="Content" ObjectID="_1468075728" r:id="rId31">
            <o:LockedField>false</o:LockedField>
          </o:OLEObject>
        </w:object>
      </w:r>
      <w:r>
        <w:rPr>
          <w:rFonts w:hint="default" w:ascii="Times New Roman" w:hAnsi="Times New Roman" w:cs="Times New Roman"/>
          <w:b/>
          <w:sz w:val="24"/>
          <w:szCs w:val="20"/>
          <w:lang w:val="en-US" w:eastAsia="zh-CN"/>
        </w:rPr>
        <w:t>图3.</w:t>
      </w:r>
      <w:r>
        <w:rPr>
          <w:rFonts w:hint="eastAsia" w:ascii="Times New Roman" w:hAnsi="Times New Roman" w:cs="Times New Roman"/>
          <w:b/>
          <w:sz w:val="24"/>
          <w:szCs w:val="20"/>
          <w:lang w:val="en-US" w:eastAsia="zh-CN"/>
        </w:rPr>
        <w:t>1.2</w:t>
      </w:r>
      <w:r>
        <w:rPr>
          <w:rFonts w:hint="default" w:ascii="Times New Roman" w:hAnsi="Times New Roman" w:cs="Times New Roman"/>
          <w:b/>
          <w:sz w:val="24"/>
          <w:szCs w:val="20"/>
          <w:lang w:val="en-US" w:eastAsia="zh-CN"/>
        </w:rPr>
        <w:t>-1</w:t>
      </w:r>
      <w:r>
        <w:rPr>
          <w:rFonts w:hint="eastAsia" w:ascii="Times New Roman" w:hAnsi="Times New Roman" w:cs="Times New Roman"/>
          <w:b/>
          <w:sz w:val="24"/>
          <w:szCs w:val="20"/>
          <w:lang w:val="en-US" w:eastAsia="zh-CN"/>
        </w:rPr>
        <w:t>5  工艺流程简图及排污节点图</w:t>
      </w:r>
    </w:p>
    <w:p>
      <w:pPr>
        <w:rPr>
          <w:rFonts w:hint="default"/>
          <w:lang w:val="en-US" w:eastAsia="zh-CN"/>
        </w:rPr>
      </w:pPr>
    </w:p>
    <w:p>
      <w:pPr>
        <w:pStyle w:val="5"/>
        <w:bidi w:val="0"/>
        <w:rPr>
          <w:rFonts w:hint="default"/>
          <w:lang w:val="en-US" w:eastAsia="zh-CN"/>
        </w:rPr>
      </w:pPr>
      <w:bookmarkStart w:id="151" w:name="_Toc28723"/>
      <w:bookmarkStart w:id="152" w:name="_Toc10282"/>
      <w:r>
        <w:rPr>
          <w:rFonts w:hint="default"/>
          <w:lang w:val="en-US" w:eastAsia="zh-CN"/>
        </w:rPr>
        <w:t>3.</w:t>
      </w:r>
      <w:r>
        <w:rPr>
          <w:rFonts w:hint="eastAsia"/>
          <w:lang w:val="en-US" w:eastAsia="zh-CN"/>
        </w:rPr>
        <w:t>1.3</w:t>
      </w:r>
      <w:r>
        <w:rPr>
          <w:rFonts w:hint="default"/>
          <w:lang w:val="en-US" w:eastAsia="zh-CN"/>
        </w:rPr>
        <w:t>污染物处理措施</w:t>
      </w:r>
      <w:bookmarkEnd w:id="151"/>
      <w:bookmarkEnd w:id="152"/>
    </w:p>
    <w:p>
      <w:pPr>
        <w:pStyle w:val="6"/>
        <w:bidi w:val="0"/>
        <w:rPr>
          <w:rFonts w:hint="default"/>
        </w:rPr>
      </w:pPr>
      <w:bookmarkStart w:id="153" w:name="_Toc32677"/>
      <w:r>
        <w:rPr>
          <w:rFonts w:hint="default"/>
          <w:lang w:val="en-US" w:eastAsia="zh-CN"/>
        </w:rPr>
        <w:t>3.</w:t>
      </w:r>
      <w:r>
        <w:rPr>
          <w:rFonts w:hint="eastAsia"/>
          <w:lang w:val="en-US" w:eastAsia="zh-CN"/>
        </w:rPr>
        <w:t>1.3.</w:t>
      </w:r>
      <w:r>
        <w:rPr>
          <w:rFonts w:hint="default"/>
          <w:lang w:val="en-US" w:eastAsia="zh-CN"/>
        </w:rPr>
        <w:t>1</w:t>
      </w:r>
      <w:r>
        <w:rPr>
          <w:rFonts w:hint="default"/>
        </w:rPr>
        <w:t>废气环境</w:t>
      </w:r>
      <w:r>
        <w:rPr>
          <w:rFonts w:hint="default"/>
          <w:lang w:val="en-US" w:eastAsia="zh-CN"/>
        </w:rPr>
        <w:t>处理</w:t>
      </w:r>
      <w:r>
        <w:rPr>
          <w:rFonts w:hint="default"/>
        </w:rPr>
        <w:t>措施</w:t>
      </w:r>
      <w:bookmarkEnd w:id="153"/>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default" w:ascii="Times New Roman" w:hAnsi="Times New Roman" w:eastAsia="宋体" w:cs="Times New Roman"/>
          <w:b/>
          <w:snapToGrid w:val="0"/>
          <w:kern w:val="0"/>
          <w:sz w:val="24"/>
          <w:szCs w:val="24"/>
          <w:lang w:val="sq-AL"/>
        </w:rPr>
      </w:pPr>
      <w:r>
        <w:rPr>
          <w:rFonts w:hint="default" w:ascii="Times New Roman" w:hAnsi="Times New Roman" w:eastAsia="宋体" w:cs="Times New Roman"/>
          <w:b/>
          <w:snapToGrid w:val="0"/>
          <w:kern w:val="0"/>
          <w:sz w:val="24"/>
          <w:szCs w:val="24"/>
          <w:lang w:val="sq-AL" w:eastAsia="zh-CN"/>
        </w:rPr>
        <w:t>（</w:t>
      </w:r>
      <w:r>
        <w:rPr>
          <w:rFonts w:hint="default" w:ascii="Times New Roman" w:hAnsi="Times New Roman" w:eastAsia="宋体" w:cs="Times New Roman"/>
          <w:b/>
          <w:snapToGrid w:val="0"/>
          <w:kern w:val="0"/>
          <w:sz w:val="24"/>
          <w:szCs w:val="24"/>
          <w:lang w:val="en-US" w:eastAsia="zh-CN"/>
        </w:rPr>
        <w:t>1</w:t>
      </w:r>
      <w:r>
        <w:rPr>
          <w:rFonts w:hint="default" w:ascii="Times New Roman" w:hAnsi="Times New Roman" w:eastAsia="宋体" w:cs="Times New Roman"/>
          <w:b/>
          <w:snapToGrid w:val="0"/>
          <w:kern w:val="0"/>
          <w:sz w:val="24"/>
          <w:szCs w:val="24"/>
          <w:lang w:val="sq-AL" w:eastAsia="zh-CN"/>
        </w:rPr>
        <w:t>）</w:t>
      </w:r>
      <w:r>
        <w:rPr>
          <w:rFonts w:hint="default" w:ascii="Times New Roman" w:hAnsi="Times New Roman" w:eastAsia="宋体" w:cs="Times New Roman"/>
          <w:b/>
          <w:snapToGrid w:val="0"/>
          <w:kern w:val="0"/>
          <w:sz w:val="24"/>
          <w:szCs w:val="24"/>
          <w:lang w:val="en-US" w:eastAsia="zh-CN"/>
        </w:rPr>
        <w:t>有组织废气</w:t>
      </w:r>
      <w:r>
        <w:rPr>
          <w:rFonts w:hint="default" w:ascii="Times New Roman" w:hAnsi="Times New Roman" w:eastAsia="宋体" w:cs="Times New Roman"/>
          <w:b/>
          <w:snapToGrid w:val="0"/>
          <w:kern w:val="0"/>
          <w:sz w:val="24"/>
          <w:szCs w:val="24"/>
          <w:lang w:val="sq-AL"/>
        </w:rPr>
        <w:t>废气</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default" w:ascii="Times New Roman" w:hAnsi="Times New Roman" w:eastAsia="宋体" w:cs="Times New Roman"/>
          <w:snapToGrid w:val="0"/>
          <w:kern w:val="0"/>
          <w:sz w:val="24"/>
          <w:szCs w:val="24"/>
          <w:lang w:val="sq-AL"/>
        </w:rPr>
      </w:pPr>
      <w:r>
        <w:rPr>
          <w:rFonts w:hint="default" w:ascii="Times New Roman" w:hAnsi="Times New Roman" w:eastAsia="宋体" w:cs="Times New Roman"/>
          <w:snapToGrid w:val="0"/>
          <w:kern w:val="0"/>
          <w:sz w:val="24"/>
          <w:szCs w:val="24"/>
          <w:lang w:val="sq-AL"/>
        </w:rPr>
        <w:t>有组织排放废气包括常压蒸馏、连续重整、柴油加氢精制、催化汽油选择性加氢、柴油加氢改质降凝等装置的各加热炉烟气；重油催化裂化装置催化剂再生烟气、连续重整装置催化剂再生尾气、硫磺回收装置制硫尾气、苯抽提及其它生产装置分馏罐的不凝气、聚丙烯装置的各种工艺废气、氢气提纯PSA装置的安全阀放空气、MTBE装置甲醇回收塔工艺废气等生产工艺尾气；来自动力站2台75t/h燃气锅炉的锅炉烟气。</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w:t>
      </w:r>
      <w:r>
        <w:rPr>
          <w:rFonts w:hint="default" w:ascii="Times New Roman" w:hAnsi="Times New Roman" w:eastAsia="宋体" w:cs="Times New Roman"/>
          <w:b/>
          <w:sz w:val="24"/>
          <w:szCs w:val="24"/>
          <w:lang w:val="en-US" w:eastAsia="zh-CN"/>
        </w:rPr>
        <w:t>3.</w:t>
      </w:r>
      <w:r>
        <w:rPr>
          <w:rFonts w:hint="eastAsia" w:ascii="Times New Roman" w:hAnsi="Times New Roman" w:eastAsia="宋体" w:cs="Times New Roman"/>
          <w:b/>
          <w:sz w:val="24"/>
          <w:szCs w:val="24"/>
          <w:lang w:val="en-US" w:eastAsia="zh-CN"/>
        </w:rPr>
        <w:t>1.3</w:t>
      </w:r>
      <w:r>
        <w:rPr>
          <w:rFonts w:hint="default" w:ascii="Times New Roman" w:hAnsi="Times New Roman" w:eastAsia="宋体" w:cs="Times New Roman"/>
          <w:b/>
          <w:sz w:val="24"/>
          <w:szCs w:val="24"/>
          <w:lang w:val="en-US" w:eastAsia="zh-CN"/>
        </w:rPr>
        <w:t xml:space="preserve">-1   </w:t>
      </w:r>
      <w:r>
        <w:rPr>
          <w:rFonts w:hint="default" w:ascii="Times New Roman" w:hAnsi="Times New Roman" w:eastAsia="宋体" w:cs="Times New Roman"/>
          <w:b/>
          <w:sz w:val="24"/>
          <w:szCs w:val="24"/>
        </w:rPr>
        <w:t>废气产生环节及气环保设施及治理措施汇总表</w:t>
      </w:r>
    </w:p>
    <w:tbl>
      <w:tblPr>
        <w:tblStyle w:val="21"/>
        <w:tblW w:w="8738" w:type="dxa"/>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0" w:type="dxa"/>
          <w:bottom w:w="0" w:type="dxa"/>
          <w:right w:w="0" w:type="dxa"/>
        </w:tblCellMar>
      </w:tblPr>
      <w:tblGrid>
        <w:gridCol w:w="851"/>
        <w:gridCol w:w="2126"/>
        <w:gridCol w:w="2410"/>
        <w:gridCol w:w="3351"/>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trHeight w:val="585" w:hRule="atLeast"/>
          <w:jc w:val="center"/>
        </w:trPr>
        <w:tc>
          <w:tcPr>
            <w:tcW w:w="8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污染物</w:t>
            </w:r>
          </w:p>
        </w:tc>
        <w:tc>
          <w:tcPr>
            <w:tcW w:w="4536"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废气来源</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sz w:val="21"/>
                <w:szCs w:val="21"/>
              </w:rPr>
            </w:pPr>
            <w:r>
              <w:rPr>
                <w:rFonts w:hint="default" w:ascii="Times New Roman" w:hAnsi="Times New Roman" w:eastAsia="宋体" w:cs="Times New Roman"/>
                <w:b/>
                <w:sz w:val="21"/>
                <w:szCs w:val="21"/>
              </w:rPr>
              <w:t>环保设施及治理措施</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trHeight w:val="511" w:hRule="atLeast"/>
          <w:jc w:val="center"/>
        </w:trPr>
        <w:tc>
          <w:tcPr>
            <w:tcW w:w="85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有组织排放</w:t>
            </w: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常压蒸馏装置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常压加热炉废气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低氮燃烧器+80米高排气筒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trHeight w:val="511" w:hRule="atLeas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重油催化裂化装置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再生烟气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旋风分离器除尘+碱洗脱硫+SCR脱硝+80米高排气筒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trHeight w:val="511" w:hRule="atLeas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蒸气过热炉</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低氮燃烧器+52米高排气筒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连续重整装置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加热炉废气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低氮燃烧器+80米高排气筒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重整</w:t>
            </w:r>
            <w:r>
              <w:rPr>
                <w:rFonts w:hint="default" w:ascii="Times New Roman" w:hAnsi="Times New Roman" w:eastAsia="宋体" w:cs="Times New Roman"/>
                <w:spacing w:val="-6"/>
                <w:sz w:val="21"/>
                <w:szCs w:val="21"/>
              </w:rPr>
              <w:t>再生烟气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氯吸附处理+低氮燃烧器+</w:t>
            </w:r>
            <w:r>
              <w:rPr>
                <w:rFonts w:hint="eastAsia" w:ascii="Times New Roman" w:hAnsi="Times New Roman" w:cs="Times New Roman"/>
                <w:sz w:val="21"/>
                <w:szCs w:val="21"/>
                <w:lang w:val="en-US" w:eastAsia="zh-CN"/>
              </w:rPr>
              <w:t>8</w:t>
            </w:r>
            <w:r>
              <w:rPr>
                <w:rFonts w:hint="default" w:ascii="Times New Roman" w:hAnsi="Times New Roman" w:eastAsia="宋体" w:cs="Times New Roman"/>
                <w:sz w:val="21"/>
                <w:szCs w:val="21"/>
              </w:rPr>
              <w:t>0米高排气筒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柴油加氢精制装置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反应加热炉废气</w:t>
            </w:r>
          </w:p>
        </w:tc>
        <w:tc>
          <w:tcPr>
            <w:tcW w:w="335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低氮燃烧器+52米高排气筒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分馏塔加热炉废气</w:t>
            </w:r>
          </w:p>
        </w:tc>
        <w:tc>
          <w:tcPr>
            <w:tcW w:w="33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航煤加热炉废气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低氮燃烧器+32米高排气筒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汽油加氢装置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分馏塔重沸加热炉废气</w:t>
            </w:r>
          </w:p>
        </w:tc>
        <w:tc>
          <w:tcPr>
            <w:tcW w:w="335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低氮燃烧器+50米高排气筒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反应产物加热炉废气</w:t>
            </w:r>
          </w:p>
        </w:tc>
        <w:tc>
          <w:tcPr>
            <w:tcW w:w="33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柴油加氢改质装置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加氢反应进料加热炉废气</w:t>
            </w:r>
          </w:p>
        </w:tc>
        <w:tc>
          <w:tcPr>
            <w:tcW w:w="335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低氮燃烧器+50米高排气筒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分馏塔进料加热炉废气</w:t>
            </w:r>
          </w:p>
        </w:tc>
        <w:tc>
          <w:tcPr>
            <w:tcW w:w="33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z w:val="21"/>
                <w:szCs w:val="21"/>
              </w:rPr>
              <w:t>硫磺回收装置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z w:val="21"/>
                <w:szCs w:val="21"/>
              </w:rPr>
              <w:t>焚烧炉尾气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克劳斯+尾气加氢还原+</w:t>
            </w:r>
            <w:r>
              <w:rPr>
                <w:rFonts w:hint="eastAsia" w:ascii="Times New Roman" w:hAnsi="Times New Roman" w:eastAsia="宋体" w:cs="Times New Roman"/>
                <w:sz w:val="21"/>
                <w:szCs w:val="21"/>
                <w:lang w:val="en-US" w:eastAsia="zh-CN"/>
              </w:rPr>
              <w:t>8</w:t>
            </w:r>
            <w:r>
              <w:rPr>
                <w:rFonts w:hint="default" w:ascii="Times New Roman" w:hAnsi="Times New Roman" w:eastAsia="宋体" w:cs="Times New Roman"/>
                <w:sz w:val="21"/>
                <w:szCs w:val="21"/>
              </w:rPr>
              <w:t>0米高排气筒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危废库废气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活性炭+15</w:t>
            </w:r>
            <w:r>
              <w:rPr>
                <w:rFonts w:hint="default" w:ascii="Times New Roman" w:hAnsi="Times New Roman" w:eastAsia="宋体" w:cs="Times New Roman"/>
                <w:sz w:val="21"/>
                <w:szCs w:val="21"/>
              </w:rPr>
              <w:t>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丙烷脱氢装置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预热炉</w:t>
            </w:r>
            <w:r>
              <w:rPr>
                <w:rFonts w:hint="default" w:ascii="Times New Roman" w:hAnsi="Times New Roman" w:eastAsia="宋体" w:cs="Times New Roman"/>
                <w:spacing w:val="-6"/>
                <w:sz w:val="21"/>
                <w:szCs w:val="21"/>
              </w:rPr>
              <w:t>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32</w:t>
            </w:r>
            <w:r>
              <w:rPr>
                <w:rFonts w:hint="default" w:ascii="Times New Roman" w:hAnsi="Times New Roman" w:eastAsia="宋体" w:cs="Times New Roman"/>
                <w:sz w:val="21"/>
                <w:szCs w:val="21"/>
              </w:rPr>
              <w:t>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再生烟气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44.8</w:t>
            </w:r>
            <w:r>
              <w:rPr>
                <w:rFonts w:hint="default" w:ascii="Times New Roman" w:hAnsi="Times New Roman" w:eastAsia="宋体" w:cs="Times New Roman"/>
                <w:sz w:val="21"/>
                <w:szCs w:val="21"/>
              </w:rPr>
              <w:t>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动力站</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锅炉烟气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低氮燃烧器+80米高排气筒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污水处理场</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恶臭收集处理系统尾气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rPr>
            </w:pPr>
            <w:r>
              <w:rPr>
                <w:rFonts w:hint="eastAsia"/>
                <w:lang w:val="en-US" w:eastAsia="zh-CN"/>
              </w:rPr>
              <w:t>低浓度：</w:t>
            </w:r>
            <w:r>
              <w:rPr>
                <w:rFonts w:hint="default"/>
              </w:rPr>
              <w:t>生物氧化+</w:t>
            </w:r>
            <w:r>
              <w:rPr>
                <w:rFonts w:hint="eastAsia"/>
                <w:lang w:val="en-US" w:eastAsia="zh-CN"/>
              </w:rPr>
              <w:t>30</w:t>
            </w:r>
            <w:r>
              <w:rPr>
                <w:rFonts w:hint="default"/>
              </w:rPr>
              <w:t>米高排气筒</w:t>
            </w:r>
          </w:p>
          <w:p>
            <w:pPr>
              <w:pStyle w:val="2"/>
              <w:rPr>
                <w:rFonts w:hint="eastAsia" w:eastAsia="宋体"/>
                <w:lang w:val="en-US" w:eastAsia="zh-CN"/>
              </w:rPr>
            </w:pPr>
            <w:r>
              <w:rPr>
                <w:rFonts w:hint="eastAsia" w:ascii="Times New Roman" w:hAnsi="Times New Roman" w:cs="Times New Roman"/>
                <w:sz w:val="21"/>
                <w:szCs w:val="21"/>
                <w:lang w:val="en-US" w:eastAsia="zh-CN"/>
              </w:rPr>
              <w:t>高浓度：</w:t>
            </w:r>
            <w:r>
              <w:rPr>
                <w:rFonts w:hint="default" w:ascii="Times New Roman" w:hAnsi="Times New Roman" w:eastAsia="宋体" w:cs="Times New Roman"/>
                <w:sz w:val="21"/>
                <w:szCs w:val="21"/>
              </w:rPr>
              <w:t>低氮燃烧器+52米高排气筒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储运系统油气回收装置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尾气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汽油和石脑油采用吸收+膜+活性炭吸附，苯采用冷凝+活性炭吸附，航煤油采用冷凝+膜+活性炭吸附，通过15米排气筒分别排放</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苯抽提装置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不凝气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火炬燃烧</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pacing w:val="-6"/>
                <w:sz w:val="21"/>
                <w:szCs w:val="21"/>
              </w:rPr>
              <w:t>聚丙烯装置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pacing w:val="-6"/>
                <w:sz w:val="21"/>
                <w:szCs w:val="21"/>
              </w:rPr>
              <w:t>工艺废气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18.4</w:t>
            </w:r>
            <w:r>
              <w:rPr>
                <w:rFonts w:hint="default" w:ascii="Times New Roman" w:hAnsi="Times New Roman" w:eastAsia="宋体" w:cs="Times New Roman"/>
                <w:sz w:val="21"/>
                <w:szCs w:val="21"/>
              </w:rPr>
              <w:t>米高排气筒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kern w:val="2"/>
                <w:sz w:val="21"/>
                <w:szCs w:val="21"/>
                <w:lang w:val="en-US" w:eastAsia="zh-CN" w:bidi="ar-SA"/>
              </w:rPr>
            </w:pPr>
            <w:r>
              <w:rPr>
                <w:rFonts w:hint="default" w:ascii="Times New Roman" w:hAnsi="Times New Roman" w:eastAsia="宋体" w:cs="Times New Roman"/>
                <w:spacing w:val="-6"/>
                <w:sz w:val="21"/>
                <w:szCs w:val="21"/>
              </w:rPr>
              <w:t>MTBE装置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pacing w:val="-6"/>
                <w:sz w:val="21"/>
                <w:szCs w:val="21"/>
              </w:rPr>
              <w:t>甲醇回收塔工艺废气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rPr>
              <w:t>火炬燃烧</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pacing w:val="-6"/>
                <w:sz w:val="21"/>
                <w:szCs w:val="21"/>
                <w:lang w:val="en-US" w:eastAsia="zh-CN"/>
              </w:rPr>
            </w:pPr>
            <w:r>
              <w:rPr>
                <w:rFonts w:hint="eastAsia" w:ascii="Times New Roman" w:hAnsi="Times New Roman" w:cs="Times New Roman"/>
                <w:spacing w:val="-6"/>
                <w:sz w:val="21"/>
                <w:szCs w:val="21"/>
                <w:lang w:val="en-US" w:eastAsia="zh-CN"/>
              </w:rPr>
              <w:t>污水提升池</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活性炭+15</w:t>
            </w:r>
            <w:r>
              <w:rPr>
                <w:rFonts w:hint="default" w:ascii="Times New Roman" w:hAnsi="Times New Roman" w:eastAsia="宋体" w:cs="Times New Roman"/>
                <w:sz w:val="21"/>
                <w:szCs w:val="21"/>
              </w:rPr>
              <w:t>米高排气筒</w:t>
            </w:r>
            <w:r>
              <w:rPr>
                <w:rFonts w:hint="eastAsia" w:ascii="Times New Roman" w:hAnsi="Times New Roman" w:cs="Times New Roman"/>
                <w:sz w:val="21"/>
                <w:szCs w:val="21"/>
                <w:lang w:eastAsia="zh-CN"/>
              </w:rPr>
              <w:t>、</w:t>
            </w:r>
            <w:r>
              <w:rPr>
                <w:rFonts w:hint="eastAsia" w:ascii="Times New Roman" w:hAnsi="Times New Roman" w:cs="Times New Roman"/>
                <w:sz w:val="21"/>
                <w:szCs w:val="21"/>
                <w:lang w:val="en-US" w:eastAsia="zh-CN"/>
              </w:rPr>
              <w:t>无动力吸附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无组织排放</w:t>
            </w: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pacing w:val="-6"/>
                <w:sz w:val="21"/>
                <w:szCs w:val="21"/>
              </w:rPr>
            </w:pPr>
            <w:r>
              <w:rPr>
                <w:rFonts w:hint="default" w:ascii="Times New Roman" w:hAnsi="Times New Roman" w:eastAsia="宋体" w:cs="Times New Roman"/>
                <w:sz w:val="21"/>
                <w:szCs w:val="21"/>
              </w:rPr>
              <w:t>硫磺回收装置</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加强生产运行和设备管理</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储运罐区</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无组织废气</w:t>
            </w:r>
          </w:p>
        </w:tc>
        <w:tc>
          <w:tcPr>
            <w:tcW w:w="335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采用浮顶罐储存和密闭装车</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其它生产装置区</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无组织废气</w:t>
            </w:r>
          </w:p>
        </w:tc>
        <w:tc>
          <w:tcPr>
            <w:tcW w:w="3351" w:type="dxa"/>
            <w:tcBorders>
              <w:tl2br w:val="nil"/>
              <w:tr2bl w:val="nil"/>
            </w:tcBorders>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加强生产运行和设备管理</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0" w:type="dxa"/>
            <w:bottom w:w="0" w:type="dxa"/>
            <w:right w:w="0" w:type="dxa"/>
          </w:tblCellMar>
        </w:tblPrEx>
        <w:trPr>
          <w:cantSplit/>
          <w:jc w:val="center"/>
        </w:trPr>
        <w:tc>
          <w:tcPr>
            <w:tcW w:w="851"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p>
        </w:tc>
        <w:tc>
          <w:tcPr>
            <w:tcW w:w="212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污水处理场</w:t>
            </w:r>
          </w:p>
        </w:tc>
        <w:tc>
          <w:tcPr>
            <w:tcW w:w="2410"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无组织废气</w:t>
            </w:r>
          </w:p>
        </w:tc>
        <w:tc>
          <w:tcPr>
            <w:tcW w:w="3351" w:type="dxa"/>
            <w:tcBorders>
              <w:tl2br w:val="nil"/>
              <w:tr2bl w:val="nil"/>
            </w:tcBorders>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加强生产运行和设备管理</w:t>
            </w:r>
          </w:p>
        </w:tc>
      </w:tr>
    </w:tbl>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default" w:ascii="Times New Roman" w:hAnsi="Times New Roman" w:eastAsia="宋体" w:cs="Times New Roman"/>
          <w:b/>
          <w:snapToGrid w:val="0"/>
          <w:kern w:val="0"/>
          <w:sz w:val="24"/>
          <w:szCs w:val="24"/>
          <w:lang w:val="en-US" w:eastAsia="zh-CN"/>
        </w:rPr>
      </w:pPr>
      <w:r>
        <w:rPr>
          <w:rFonts w:hint="default" w:ascii="Times New Roman" w:hAnsi="Times New Roman" w:eastAsia="宋体" w:cs="Times New Roman"/>
          <w:b/>
          <w:snapToGrid w:val="0"/>
          <w:kern w:val="0"/>
          <w:sz w:val="24"/>
          <w:szCs w:val="24"/>
          <w:lang w:val="en-US" w:eastAsia="zh-CN"/>
        </w:rPr>
        <w:t>（2）无组织废气</w:t>
      </w:r>
    </w:p>
    <w:p>
      <w:pPr>
        <w:keepNext w:val="0"/>
        <w:keepLines w:val="0"/>
        <w:pageBreakBefore w:val="0"/>
        <w:widowControl w:val="0"/>
        <w:kinsoku/>
        <w:wordWrap/>
        <w:overflowPunct/>
        <w:topLinePunct w:val="0"/>
        <w:autoSpaceDE/>
        <w:autoSpaceDN/>
        <w:bidi w:val="0"/>
        <w:spacing w:line="560" w:lineRule="exact"/>
        <w:ind w:firstLine="512"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napToGrid w:val="0"/>
          <w:kern w:val="0"/>
          <w:sz w:val="24"/>
          <w:lang w:val="sq-AL"/>
        </w:rPr>
        <w:t>无组织废气主要包括原油罐区、产品罐区、中间原料罐区、硫磺回收及其它装置区以及污水处理场等产生的含烃、苯、甲醇、硫化氢和氨等废气。</w:t>
      </w:r>
    </w:p>
    <w:p>
      <w:pPr>
        <w:pStyle w:val="39"/>
        <w:keepNext w:val="0"/>
        <w:keepLines w:val="0"/>
        <w:pageBreakBefore w:val="0"/>
        <w:widowControl w:val="0"/>
        <w:kinsoku/>
        <w:wordWrap/>
        <w:overflowPunct/>
        <w:topLinePunct w:val="0"/>
        <w:autoSpaceDE/>
        <w:autoSpaceDN/>
        <w:bidi w:val="0"/>
        <w:spacing w:line="560" w:lineRule="exact"/>
        <w:ind w:firstLine="480"/>
        <w:textAlignment w:val="auto"/>
        <w:rPr>
          <w:rFonts w:hint="default" w:ascii="Times New Roman" w:hAnsi="Times New Roman" w:eastAsia="宋体" w:cs="Times New Roman"/>
        </w:rPr>
      </w:pPr>
      <w:r>
        <w:rPr>
          <w:rFonts w:hint="default" w:ascii="Times New Roman" w:hAnsi="Times New Roman" w:eastAsia="宋体" w:cs="Times New Roman"/>
          <w:lang w:val="sq-AL"/>
        </w:rPr>
        <w:t>对于废气无组织排放，工程对挥发性较强的原料油及轻质油品全部采用浮顶罐；装卸车时采用密闭式鹤管；对生产装置的管线、阀门等泄漏实施了严密监控；</w:t>
      </w:r>
      <w:r>
        <w:rPr>
          <w:rFonts w:hint="eastAsia" w:ascii="Times New Roman" w:hAnsi="Times New Roman" w:eastAsia="宋体" w:cs="Times New Roman"/>
          <w:lang w:val="en-US" w:eastAsia="zh-CN"/>
        </w:rPr>
        <w:t>对污水处理场实施VOC密闭收集处置设施，将无组织排放变为有组织排放</w:t>
      </w:r>
      <w:r>
        <w:rPr>
          <w:rFonts w:hint="default" w:ascii="Times New Roman" w:hAnsi="Times New Roman" w:eastAsia="宋体" w:cs="Times New Roman"/>
          <w:lang w:val="sq-AL"/>
        </w:rPr>
        <w:t>；在油品储运区建设油气回收设施。在非正常工况下各生产装置排放的含烃、含硫等废气全部进入火炬系统，通过燃烧后高空排放。</w:t>
      </w:r>
      <w:r>
        <w:rPr>
          <w:rFonts w:hint="default" w:ascii="Times New Roman" w:hAnsi="Times New Roman" w:eastAsia="宋体" w:cs="Times New Roman"/>
        </w:rPr>
        <w:t>公司无组织废气主要包括来自原油罐区、产品罐区、中间原料罐区、硫磺回收及其它装置区以及污水处理场等产生的含烃、苯、甲醇、硫化氢和氨等废气。</w:t>
      </w:r>
    </w:p>
    <w:p>
      <w:pPr>
        <w:pStyle w:val="39"/>
        <w:keepNext w:val="0"/>
        <w:keepLines w:val="0"/>
        <w:pageBreakBefore w:val="0"/>
        <w:widowControl w:val="0"/>
        <w:kinsoku/>
        <w:wordWrap/>
        <w:overflowPunct/>
        <w:topLinePunct w:val="0"/>
        <w:autoSpaceDE/>
        <w:autoSpaceDN/>
        <w:bidi w:val="0"/>
        <w:spacing w:line="560" w:lineRule="exact"/>
        <w:ind w:firstLine="480"/>
        <w:textAlignment w:val="auto"/>
        <w:rPr>
          <w:rFonts w:hint="default" w:ascii="Times New Roman" w:hAnsi="Times New Roman" w:eastAsia="宋体" w:cs="Times New Roman"/>
          <w:lang w:val="sq-AL"/>
        </w:rPr>
      </w:pPr>
      <w:r>
        <w:rPr>
          <w:rFonts w:hint="default" w:ascii="Times New Roman" w:hAnsi="Times New Roman" w:eastAsia="宋体" w:cs="Times New Roman"/>
        </w:rPr>
        <w:t>为减少无组织排放，工程对挥发性较强的原料油及轻质油品全部采用浮顶罐；装卸车时采用密闭式鹤管；对生产装置的管线、阀门等泄漏实施了严密监控；对污水处理场实施半密闭化设施等措施。根据监测报告显示，各污染物监测值均满足《石油炼制工业污染物排放标准》（GB31570-2015）表5中的排放限值。</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default" w:ascii="Times New Roman" w:hAnsi="Times New Roman" w:eastAsia="宋体" w:cs="Times New Roman"/>
          <w:b/>
          <w:snapToGrid w:val="0"/>
          <w:kern w:val="0"/>
          <w:sz w:val="24"/>
          <w:szCs w:val="24"/>
          <w:lang w:val="en-US" w:eastAsia="zh-CN"/>
        </w:rPr>
      </w:pPr>
      <w:r>
        <w:rPr>
          <w:rFonts w:hint="default" w:ascii="Times New Roman" w:hAnsi="Times New Roman" w:eastAsia="宋体" w:cs="Times New Roman"/>
          <w:b/>
          <w:snapToGrid w:val="0"/>
          <w:kern w:val="0"/>
          <w:sz w:val="24"/>
          <w:szCs w:val="24"/>
          <w:lang w:val="en-US" w:eastAsia="zh-CN"/>
        </w:rPr>
        <w:t>（3）非正常工况下</w:t>
      </w:r>
    </w:p>
    <w:p>
      <w:pPr>
        <w:keepNext w:val="0"/>
        <w:keepLines w:val="0"/>
        <w:pageBreakBefore w:val="0"/>
        <w:widowControl w:val="0"/>
        <w:kinsoku/>
        <w:wordWrap/>
        <w:overflowPunct/>
        <w:topLinePunct w:val="0"/>
        <w:autoSpaceDE/>
        <w:autoSpaceDN/>
        <w:bidi w:val="0"/>
        <w:spacing w:line="560" w:lineRule="exact"/>
        <w:ind w:firstLine="512" w:firstLineChars="200"/>
        <w:textAlignment w:val="auto"/>
        <w:rPr>
          <w:rFonts w:hint="default" w:ascii="Times New Roman" w:hAnsi="Times New Roman" w:eastAsia="宋体" w:cs="Times New Roman"/>
          <w:snapToGrid w:val="0"/>
          <w:kern w:val="0"/>
          <w:sz w:val="24"/>
          <w:lang w:val="sq-AL"/>
        </w:rPr>
      </w:pPr>
      <w:r>
        <w:rPr>
          <w:rFonts w:hint="default" w:ascii="Times New Roman" w:hAnsi="Times New Roman" w:eastAsia="宋体" w:cs="Times New Roman"/>
          <w:snapToGrid w:val="0"/>
          <w:kern w:val="0"/>
          <w:sz w:val="24"/>
          <w:lang w:val="sq-AL"/>
        </w:rPr>
        <w:t>非正常工况下的废气主要是来自装置或设备检修过程的罐体清空过程的废气放空排放；装置开停工或检修或事故状态下，气体放空、氮气和蒸汽气体吹扫；瓦斯不平衡的过剩排放；高压或减压阀门以及管线泄露等。本项目的各种压力容器均设有安全阀，在装置内设置放空管线，当发生系统超压时，烃类物和气体引入火炬系统；各生产装置均采用高水平的自控和连锁系统可保证非正常工况的物料泄露引起的空气污染；对有计划开停工、以及紧急事故处理均建立了完善的处理方案和措施，最大程度降低废气对环境的污染。</w:t>
      </w:r>
    </w:p>
    <w:p>
      <w:pPr>
        <w:pStyle w:val="6"/>
        <w:bidi w:val="0"/>
        <w:rPr>
          <w:rFonts w:hint="default"/>
        </w:rPr>
      </w:pPr>
      <w:bookmarkStart w:id="154" w:name="_Toc16643"/>
      <w:r>
        <w:rPr>
          <w:rFonts w:hint="eastAsia"/>
          <w:lang w:val="en-US" w:eastAsia="zh-CN"/>
        </w:rPr>
        <w:t>3.1.3.</w:t>
      </w:r>
      <w:r>
        <w:rPr>
          <w:rFonts w:hint="default"/>
        </w:rPr>
        <w:t>2废水污染防治措施</w:t>
      </w:r>
      <w:bookmarkEnd w:id="154"/>
    </w:p>
    <w:p>
      <w:pPr>
        <w:pStyle w:val="12"/>
        <w:numPr>
          <w:ilvl w:val="0"/>
          <w:numId w:val="0"/>
        </w:numPr>
        <w:ind w:right="27" w:rightChars="12" w:firstLine="512" w:firstLineChars="200"/>
        <w:rPr>
          <w:rFonts w:hint="default"/>
          <w:sz w:val="32"/>
          <w:szCs w:val="32"/>
          <w:lang w:val="en-US" w:eastAsia="zh-CN"/>
        </w:rPr>
      </w:pPr>
      <w:r>
        <w:rPr>
          <w:rFonts w:hint="default" w:ascii="Times New Roman" w:hAnsi="Times New Roman" w:eastAsia="宋体" w:cs="Times New Roman"/>
          <w:snapToGrid w:val="0"/>
          <w:kern w:val="0"/>
          <w:sz w:val="24"/>
          <w:lang w:val="sq-AL"/>
        </w:rPr>
        <w:t>本项目对全厂废水建立了清污分流系统和排水管网；在利旧现有16t/h工艺凝结水回收处理装置的基础上，增建一套84t/h的工艺蒸汽凝结水处理回用装置，对生产装置及汽机蒸汽凝结水分别收集和处理回用做全厂工艺和蒸汽锅炉化学水；建设一套33.6万吨/年的酸性水汽提处理装置，对全厂含硫污水进行预处理后部分回用作生产工艺用水，剩余部分送至含油污水处理场达标；建设一座450t/h的含油含盐污水处理场，用于全厂含油污水、含盐废水的达标处理和深度处理，处理后出水全部回用做循环水系统的补充水和厂区绿化用水，其余废水排放到金桥污水处理厂处理后作为景观用水；新建15000m</w:t>
      </w:r>
      <w:r>
        <w:rPr>
          <w:rFonts w:hint="default" w:ascii="Times New Roman" w:hAnsi="Times New Roman" w:eastAsia="宋体" w:cs="Times New Roman"/>
          <w:snapToGrid w:val="0"/>
          <w:kern w:val="0"/>
          <w:sz w:val="24"/>
          <w:vertAlign w:val="superscript"/>
          <w:lang w:val="sq-AL"/>
        </w:rPr>
        <w:t>3</w:t>
      </w:r>
      <w:r>
        <w:rPr>
          <w:rFonts w:hint="default" w:ascii="Times New Roman" w:hAnsi="Times New Roman" w:eastAsia="宋体" w:cs="Times New Roman"/>
          <w:snapToGrid w:val="0"/>
          <w:kern w:val="0"/>
          <w:sz w:val="24"/>
          <w:lang w:val="sq-AL"/>
        </w:rPr>
        <w:t>的事故水收集池，以防范和控制生产过程突发事故或者在事故处理过程中因物料泄漏而产生的污染物对本项目周边环境所产生的污染，有效降低环境风险和确保环境安全。</w:t>
      </w:r>
      <w:r>
        <w:rPr>
          <w:rFonts w:hint="eastAsia" w:ascii="Times New Roman" w:hAnsi="Times New Roman" w:eastAsia="宋体" w:cs="Times New Roman"/>
          <w:snapToGrid w:val="0"/>
          <w:kern w:val="0"/>
          <w:sz w:val="24"/>
          <w:lang w:val="en-US" w:eastAsia="zh-CN"/>
        </w:rPr>
        <w:t>建立一套400t/h的雨水收集提升系统，配套150t/h的雨水处理回用系统，实现清洁雨水回收利用。</w:t>
      </w:r>
    </w:p>
    <w:p>
      <w:pPr>
        <w:keepNext w:val="0"/>
        <w:keepLines w:val="0"/>
        <w:pageBreakBefore w:val="0"/>
        <w:widowControl w:val="0"/>
        <w:kinsoku/>
        <w:wordWrap/>
        <w:overflowPunct/>
        <w:topLinePunct w:val="0"/>
        <w:autoSpaceDE/>
        <w:autoSpaceDN/>
        <w:bidi w:val="0"/>
        <w:adjustRightInd w:val="0"/>
        <w:snapToGrid w:val="0"/>
        <w:spacing w:line="560" w:lineRule="exact"/>
        <w:ind w:left="0" w:firstLine="512" w:firstLineChars="200"/>
        <w:jc w:val="left"/>
        <w:textAlignment w:val="auto"/>
        <w:rPr>
          <w:rFonts w:hint="default" w:ascii="Times New Roman" w:hAnsi="Times New Roman" w:eastAsia="宋体" w:cs="Times New Roman"/>
          <w:b/>
          <w:kern w:val="0"/>
          <w:sz w:val="24"/>
        </w:rPr>
      </w:pPr>
      <w:r>
        <w:rPr>
          <w:rFonts w:hint="eastAsia" w:ascii="Times New Roman" w:hAnsi="Times New Roman" w:cs="Times New Roman"/>
          <w:b/>
          <w:kern w:val="0"/>
          <w:sz w:val="24"/>
          <w:lang w:val="en-US" w:eastAsia="zh-CN"/>
        </w:rPr>
        <w:t>1、</w:t>
      </w:r>
      <w:r>
        <w:rPr>
          <w:rFonts w:hint="default" w:ascii="Times New Roman" w:hAnsi="Times New Roman" w:eastAsia="宋体" w:cs="Times New Roman"/>
          <w:b/>
          <w:kern w:val="0"/>
          <w:sz w:val="24"/>
        </w:rPr>
        <w:t>污水清污分流系统及管网</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lang w:val="sq-AL"/>
        </w:rPr>
      </w:pPr>
      <w:r>
        <w:rPr>
          <w:rFonts w:hint="default" w:ascii="Times New Roman" w:hAnsi="Times New Roman" w:eastAsia="宋体" w:cs="Times New Roman"/>
          <w:sz w:val="24"/>
          <w:lang w:val="sq-AL"/>
        </w:rPr>
        <w:t>按污水的性质及处理要求，全厂建立了以下几个排水系统：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lang w:val="sq-AL"/>
        </w:rPr>
      </w:pPr>
      <w:r>
        <w:rPr>
          <w:rFonts w:hint="default" w:ascii="Times New Roman" w:hAnsi="Times New Roman" w:eastAsia="宋体" w:cs="Times New Roman"/>
          <w:sz w:val="24"/>
          <w:lang w:val="sq-AL" w:eastAsia="zh-CN"/>
        </w:rPr>
        <w:t>①</w:t>
      </w:r>
      <w:r>
        <w:rPr>
          <w:rFonts w:hint="default" w:ascii="Times New Roman" w:hAnsi="Times New Roman" w:eastAsia="宋体" w:cs="Times New Roman"/>
          <w:sz w:val="24"/>
          <w:lang w:val="sq-AL"/>
        </w:rPr>
        <w:t>清净含盐废水系统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来自循环水场的正常排污、锅炉及余热锅炉排污、脱盐水站制备脱盐水过程的反渗透尾水和混床离子交换树脂再生废水、连续重整装置的含碱废水等生产清净废水，经管线汇集后进入450t/h的含油含盐污水处理场进行预处理和反渗透脱盐处理，处理后的净化水回用至循环水系统作补充水使用。</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bCs/>
          <w:sz w:val="24"/>
          <w:lang w:val="sq-AL"/>
        </w:rPr>
      </w:pPr>
      <w:r>
        <w:rPr>
          <w:rFonts w:hint="default" w:ascii="Times New Roman" w:hAnsi="Times New Roman" w:eastAsia="宋体" w:cs="Times New Roman"/>
          <w:bCs/>
          <w:sz w:val="24"/>
          <w:lang w:eastAsia="zh-CN"/>
        </w:rPr>
        <w:t>②</w:t>
      </w:r>
      <w:r>
        <w:rPr>
          <w:rFonts w:hint="default" w:ascii="Times New Roman" w:hAnsi="Times New Roman" w:eastAsia="宋体" w:cs="Times New Roman"/>
          <w:bCs/>
          <w:sz w:val="24"/>
        </w:rPr>
        <w:t>含油污水系统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lang w:val="sq-AL"/>
        </w:rPr>
        <w:t>来自各生产装置的油水分离器排水、装置及单元含油容器的冲洗水、装置及单元内塔区、炉区、泵区、冷换区的地面冲洗水及含油雨水，机泵填料函排水；罐区油罐切水、洗罐水；化验室含油污水、凝结水回收装置的排污水等，经含油污水管网收集后排至450t/h污水处理场，处理后出水全部回用至循环水场作系统补充水和厂区绿化用水</w:t>
      </w:r>
      <w:r>
        <w:rPr>
          <w:rFonts w:hint="default" w:ascii="Times New Roman" w:hAnsi="Times New Roman" w:eastAsia="宋体" w:cs="Times New Roman"/>
          <w:sz w:val="24"/>
        </w:rPr>
        <w:t>。</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bCs/>
          <w:sz w:val="24"/>
          <w:lang w:val="sq-AL"/>
        </w:rPr>
      </w:pPr>
      <w:r>
        <w:rPr>
          <w:rFonts w:hint="default" w:ascii="Times New Roman" w:hAnsi="Times New Roman" w:eastAsia="宋体" w:cs="Times New Roman"/>
          <w:bCs/>
          <w:sz w:val="24"/>
          <w:lang w:eastAsia="zh-CN"/>
        </w:rPr>
        <w:t>③</w:t>
      </w:r>
      <w:r>
        <w:rPr>
          <w:rFonts w:hint="default" w:ascii="Times New Roman" w:hAnsi="Times New Roman" w:eastAsia="宋体" w:cs="Times New Roman"/>
          <w:bCs/>
          <w:sz w:val="24"/>
          <w:lang w:val="sq-AL"/>
        </w:rPr>
        <w:t>含硫污水系统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lang w:val="sq-AL"/>
        </w:rPr>
      </w:pPr>
      <w:r>
        <w:rPr>
          <w:rFonts w:hint="default" w:ascii="Times New Roman" w:hAnsi="Times New Roman" w:eastAsia="宋体" w:cs="Times New Roman"/>
          <w:sz w:val="24"/>
          <w:lang w:val="sq-AL"/>
        </w:rPr>
        <w:t>来自常压蒸馏、连续重整、重油催化裂化、柴油加氢精制、催化汽油选择性加氢、柴油加氢改质降凝、硫磺回收等装置的含硫污水，经含硫污水管网收集后送入含硫污水汽提塔脱硫除氨处理，处理后的净化水部分送至常压蒸馏电脱盐和柴油加氢改质降凝装置作工艺用水回用，剩余部分排入含油污水处理场处理后回用。</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bCs/>
          <w:sz w:val="24"/>
          <w:lang w:val="sq-AL"/>
        </w:rPr>
      </w:pPr>
      <w:r>
        <w:rPr>
          <w:rFonts w:hint="default" w:ascii="Times New Roman" w:hAnsi="Times New Roman" w:eastAsia="宋体" w:cs="Times New Roman"/>
          <w:bCs/>
          <w:sz w:val="24"/>
          <w:lang w:val="sq-AL" w:eastAsia="zh-CN"/>
        </w:rPr>
        <w:t>④</w:t>
      </w:r>
      <w:r>
        <w:rPr>
          <w:rFonts w:hint="default" w:ascii="Times New Roman" w:hAnsi="Times New Roman" w:eastAsia="宋体" w:cs="Times New Roman"/>
          <w:bCs/>
          <w:sz w:val="24"/>
          <w:lang w:val="sq-AL"/>
        </w:rPr>
        <w:t>生活污水系统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lang w:val="sq-AL"/>
        </w:rPr>
      </w:pPr>
      <w:r>
        <w:rPr>
          <w:rFonts w:hint="default" w:ascii="Times New Roman" w:hAnsi="Times New Roman" w:eastAsia="宋体" w:cs="Times New Roman"/>
          <w:sz w:val="24"/>
          <w:lang w:val="sq-AL"/>
        </w:rPr>
        <w:t>对来自全厂的厕所、食堂、浴室、办公等生活设施的排水以及装置区内的生活污水建立管道系统，经化粪池处理后排至含油污水处理场处理后回用。</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bCs/>
          <w:sz w:val="24"/>
          <w:lang w:val="sq-AL"/>
        </w:rPr>
      </w:pPr>
      <w:r>
        <w:rPr>
          <w:rFonts w:hint="default" w:ascii="Times New Roman" w:hAnsi="Times New Roman" w:eastAsia="宋体" w:cs="Times New Roman"/>
          <w:bCs/>
          <w:sz w:val="24"/>
          <w:lang w:val="sq-AL" w:eastAsia="zh-CN"/>
        </w:rPr>
        <w:t>⑤</w:t>
      </w:r>
      <w:r>
        <w:rPr>
          <w:rFonts w:hint="default" w:ascii="Times New Roman" w:hAnsi="Times New Roman" w:eastAsia="宋体" w:cs="Times New Roman"/>
          <w:bCs/>
          <w:sz w:val="24"/>
          <w:lang w:val="sq-AL"/>
        </w:rPr>
        <w:t>雨水系统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lang w:val="sq-AL"/>
        </w:rPr>
        <w:t>来自全厂各装置区、</w:t>
      </w:r>
      <w:r>
        <w:rPr>
          <w:rFonts w:hint="default" w:ascii="Times New Roman" w:hAnsi="Times New Roman" w:eastAsia="宋体" w:cs="Times New Roman"/>
          <w:sz w:val="24"/>
        </w:rPr>
        <w:t>消防站、综合办公楼、中央控制室、动力站、储运罐区、全厂性仓库、厂内绿化区域等清洁区内的清净雨水（后期雨水），经单独建设的清洁雨水管线汇集，</w:t>
      </w:r>
      <w:r>
        <w:rPr>
          <w:rFonts w:hint="default" w:ascii="Times New Roman" w:hAnsi="Times New Roman" w:eastAsia="宋体" w:cs="Times New Roman"/>
          <w:sz w:val="24"/>
          <w:lang w:val="sq-AL"/>
        </w:rPr>
        <w:t>经雨水监控池监控后</w:t>
      </w:r>
      <w:r>
        <w:rPr>
          <w:rFonts w:hint="default" w:ascii="Times New Roman" w:hAnsi="Times New Roman" w:eastAsia="宋体" w:cs="Times New Roman"/>
          <w:sz w:val="24"/>
        </w:rPr>
        <w:t>直接排放；来自生产装置、油品储运、油品装卸等区域的初期污染雨水（设置围堰）经单独建设的初期雨水管线汇集后排入污水处理场处理。</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bCs/>
          <w:sz w:val="24"/>
          <w:lang w:val="sq-AL"/>
        </w:rPr>
      </w:pPr>
      <w:r>
        <w:rPr>
          <w:rFonts w:hint="default" w:ascii="Times New Roman" w:hAnsi="Times New Roman" w:eastAsia="宋体" w:cs="Times New Roman"/>
          <w:bCs/>
          <w:sz w:val="24"/>
          <w:lang w:eastAsia="zh-CN"/>
        </w:rPr>
        <w:t>⑥</w:t>
      </w:r>
      <w:r>
        <w:rPr>
          <w:rFonts w:hint="default" w:ascii="Times New Roman" w:hAnsi="Times New Roman" w:eastAsia="宋体" w:cs="Times New Roman"/>
          <w:bCs/>
          <w:sz w:val="24"/>
          <w:lang w:val="sq-AL"/>
        </w:rPr>
        <w:t>消防废水系统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lang w:val="sq-AL"/>
        </w:rPr>
      </w:pPr>
      <w:r>
        <w:rPr>
          <w:rFonts w:hint="default" w:ascii="Times New Roman" w:hAnsi="Times New Roman" w:eastAsia="宋体" w:cs="Times New Roman"/>
          <w:sz w:val="24"/>
          <w:lang w:val="sq-AL"/>
        </w:rPr>
        <w:t>发生事故时的消防水排入此系统，收集后送至事故水池，限流排入污水处理厂处理，不排入外部系统。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bCs/>
          <w:sz w:val="24"/>
          <w:lang w:val="sq-AL"/>
        </w:rPr>
      </w:pPr>
      <w:r>
        <w:rPr>
          <w:rFonts w:hint="default" w:ascii="Times New Roman" w:hAnsi="Times New Roman" w:eastAsia="宋体" w:cs="Times New Roman"/>
          <w:bCs/>
          <w:sz w:val="24"/>
          <w:lang w:val="sq-AL" w:eastAsia="zh-CN"/>
        </w:rPr>
        <w:t>⑦</w:t>
      </w:r>
      <w:r>
        <w:rPr>
          <w:rFonts w:hint="default" w:ascii="Times New Roman" w:hAnsi="Times New Roman" w:eastAsia="宋体" w:cs="Times New Roman"/>
          <w:bCs/>
          <w:sz w:val="24"/>
          <w:lang w:val="sq-AL"/>
        </w:rPr>
        <w:t>凝结水回收系统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lang w:val="sq-AL"/>
        </w:rPr>
      </w:pPr>
      <w:r>
        <w:rPr>
          <w:rFonts w:hint="default" w:ascii="Times New Roman" w:hAnsi="Times New Roman" w:eastAsia="宋体" w:cs="Times New Roman"/>
          <w:sz w:val="24"/>
          <w:lang w:val="sq-AL"/>
        </w:rPr>
        <w:t>来自生产装置及给排水系统的各汽机的蒸汽凝结水单独进行回收；各工艺生产装置的蒸汽凝结水通过收集后，经过滤、除油等保证处理后回用做全厂除盐水使用。</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bCs/>
          <w:sz w:val="24"/>
          <w:lang w:val="sq-AL"/>
        </w:rPr>
      </w:pPr>
      <w:r>
        <w:rPr>
          <w:rFonts w:hint="default" w:ascii="Times New Roman" w:hAnsi="Times New Roman" w:eastAsia="宋体" w:cs="Times New Roman"/>
          <w:bCs/>
          <w:sz w:val="24"/>
          <w:lang w:val="sq-AL" w:eastAsia="zh-CN"/>
        </w:rPr>
        <w:t>⑧</w:t>
      </w:r>
      <w:r>
        <w:rPr>
          <w:rFonts w:hint="default" w:ascii="Times New Roman" w:hAnsi="Times New Roman" w:eastAsia="宋体" w:cs="Times New Roman"/>
          <w:bCs/>
          <w:sz w:val="24"/>
          <w:lang w:val="sq-AL"/>
        </w:rPr>
        <w:t>回用污水系统</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sz w:val="24"/>
        </w:rPr>
        <w:t>来自污水处理场的净化污水送入循环水系统作补充水和作厂区绿化用水使用；剩余部分外排入金桥污水处理厂。</w:t>
      </w:r>
    </w:p>
    <w:p>
      <w:pPr>
        <w:keepNext w:val="0"/>
        <w:keepLines w:val="0"/>
        <w:pageBreakBefore w:val="0"/>
        <w:widowControl w:val="0"/>
        <w:kinsoku/>
        <w:wordWrap/>
        <w:overflowPunct/>
        <w:topLinePunct w:val="0"/>
        <w:autoSpaceDE/>
        <w:autoSpaceDN/>
        <w:bidi w:val="0"/>
        <w:spacing w:line="560" w:lineRule="exact"/>
        <w:ind w:left="0" w:firstLine="512" w:firstLineChars="200"/>
        <w:jc w:val="left"/>
        <w:textAlignment w:val="auto"/>
        <w:rPr>
          <w:rFonts w:hint="default" w:ascii="Times New Roman" w:hAnsi="Times New Roman" w:eastAsia="宋体" w:cs="Times New Roman"/>
          <w:b/>
          <w:kern w:val="0"/>
          <w:sz w:val="24"/>
        </w:rPr>
      </w:pPr>
      <w:r>
        <w:rPr>
          <w:rFonts w:hint="eastAsia" w:ascii="Times New Roman" w:hAnsi="Times New Roman" w:cs="Times New Roman"/>
          <w:b/>
          <w:kern w:val="0"/>
          <w:sz w:val="24"/>
          <w:lang w:val="en-US" w:eastAsia="zh-CN"/>
        </w:rPr>
        <w:t>2、</w:t>
      </w:r>
      <w:r>
        <w:rPr>
          <w:rFonts w:hint="default" w:ascii="Times New Roman" w:hAnsi="Times New Roman" w:eastAsia="宋体" w:cs="Times New Roman"/>
          <w:b/>
          <w:kern w:val="0"/>
          <w:sz w:val="24"/>
        </w:rPr>
        <w:t>厂区污水处理场</w:t>
      </w:r>
    </w:p>
    <w:p>
      <w:pPr>
        <w:keepNext w:val="0"/>
        <w:keepLines w:val="0"/>
        <w:pageBreakBefore w:val="0"/>
        <w:widowControl w:val="0"/>
        <w:kinsoku/>
        <w:wordWrap/>
        <w:overflowPunct/>
        <w:topLinePunct w:val="0"/>
        <w:autoSpaceDE/>
        <w:autoSpaceDN/>
        <w:bidi w:val="0"/>
        <w:adjustRightInd/>
        <w:snapToGrid/>
        <w:spacing w:line="560" w:lineRule="exact"/>
        <w:ind w:left="0" w:firstLine="512" w:firstLineChars="200"/>
        <w:jc w:val="left"/>
        <w:textAlignment w:val="auto"/>
        <w:rPr>
          <w:rFonts w:hint="default" w:ascii="Times New Roman" w:hAnsi="Times New Roman" w:eastAsia="宋体" w:cs="Times New Roman"/>
          <w:bCs/>
          <w:sz w:val="24"/>
        </w:rPr>
      </w:pPr>
      <w:r>
        <w:rPr>
          <w:rFonts w:hint="default" w:ascii="Times New Roman" w:hAnsi="Times New Roman" w:eastAsia="宋体" w:cs="Times New Roman"/>
          <w:bCs/>
          <w:sz w:val="24"/>
        </w:rPr>
        <w:t>污水场总处理规模450m</w:t>
      </w:r>
      <w:r>
        <w:rPr>
          <w:rFonts w:hint="default" w:ascii="Times New Roman" w:hAnsi="Times New Roman" w:eastAsia="宋体" w:cs="Times New Roman"/>
          <w:bCs/>
          <w:sz w:val="24"/>
          <w:vertAlign w:val="superscript"/>
        </w:rPr>
        <w:t>3</w:t>
      </w:r>
      <w:r>
        <w:rPr>
          <w:rFonts w:hint="default" w:ascii="Times New Roman" w:hAnsi="Times New Roman" w:eastAsia="宋体" w:cs="Times New Roman"/>
          <w:bCs/>
          <w:sz w:val="24"/>
        </w:rPr>
        <w:t>/h。一级气浮采用溶气泵溶气工艺，二级气浮采用部分回流加药溶气气浮工艺（DAF）；生化部分A池采用缺氧活性污泥法的污水生化处理池。O池为采用好氧活性污泥法的污水生化处理池。污水处理场的油泥、浮渣经离心脱水后，作为危险废物送至</w:t>
      </w:r>
      <w:r>
        <w:rPr>
          <w:rFonts w:hint="eastAsia" w:ascii="Times New Roman" w:hAnsi="Times New Roman" w:cs="Times New Roman"/>
          <w:bCs/>
          <w:sz w:val="24"/>
          <w:lang w:val="en-US" w:eastAsia="zh-CN"/>
        </w:rPr>
        <w:t>有资质单位</w:t>
      </w:r>
      <w:r>
        <w:rPr>
          <w:rFonts w:hint="default" w:ascii="Times New Roman" w:hAnsi="Times New Roman" w:eastAsia="宋体" w:cs="Times New Roman"/>
          <w:bCs/>
          <w:sz w:val="24"/>
        </w:rPr>
        <w:t>处理。</w:t>
      </w:r>
    </w:p>
    <w:p>
      <w:pPr>
        <w:keepNext w:val="0"/>
        <w:keepLines w:val="0"/>
        <w:pageBreakBefore w:val="0"/>
        <w:widowControl w:val="0"/>
        <w:kinsoku/>
        <w:wordWrap/>
        <w:overflowPunct/>
        <w:topLinePunct w:val="0"/>
        <w:autoSpaceDE/>
        <w:autoSpaceDN/>
        <w:bidi w:val="0"/>
        <w:adjustRightInd/>
        <w:snapToGrid/>
        <w:spacing w:line="560" w:lineRule="exact"/>
        <w:ind w:left="0" w:firstLine="512" w:firstLineChars="200"/>
        <w:jc w:val="left"/>
        <w:textAlignment w:val="auto"/>
        <w:rPr>
          <w:rFonts w:hint="default" w:ascii="Times New Roman" w:hAnsi="Times New Roman" w:eastAsia="宋体" w:cs="Times New Roman"/>
          <w:sz w:val="24"/>
        </w:rPr>
      </w:pPr>
      <w:r>
        <w:rPr>
          <w:rFonts w:hint="default" w:ascii="Times New Roman" w:hAnsi="Times New Roman" w:eastAsia="宋体" w:cs="Times New Roman"/>
          <w:bCs/>
          <w:sz w:val="24"/>
        </w:rPr>
        <w:t>回用水处理工艺采用“超滤+反渗透”技术（双膜法），其产品水与合格污水混合后，回用于循环水系统，</w:t>
      </w:r>
      <w:r>
        <w:rPr>
          <w:rFonts w:hint="eastAsia" w:ascii="Times New Roman" w:hAnsi="Times New Roman" w:eastAsia="宋体" w:cs="Times New Roman"/>
          <w:bCs/>
          <w:sz w:val="24"/>
          <w:lang w:val="en-US" w:eastAsia="zh-CN"/>
        </w:rPr>
        <w:t>污水双膜处理量150m</w:t>
      </w:r>
      <w:r>
        <w:rPr>
          <w:rFonts w:hint="eastAsia" w:ascii="Times New Roman" w:hAnsi="Times New Roman" w:eastAsia="宋体" w:cs="Times New Roman"/>
          <w:bCs/>
          <w:sz w:val="24"/>
          <w:vertAlign w:val="superscript"/>
          <w:lang w:val="en-US" w:eastAsia="zh-CN"/>
        </w:rPr>
        <w:t>3</w:t>
      </w:r>
      <w:r>
        <w:rPr>
          <w:rFonts w:hint="eastAsia" w:ascii="Times New Roman" w:hAnsi="Times New Roman" w:eastAsia="宋体" w:cs="Times New Roman"/>
          <w:bCs/>
          <w:sz w:val="24"/>
          <w:lang w:val="en-US" w:eastAsia="zh-CN"/>
        </w:rPr>
        <w:t>/h。低浓度VOC处理单元处理能力25000m</w:t>
      </w:r>
      <w:r>
        <w:rPr>
          <w:rFonts w:hint="eastAsia" w:ascii="Times New Roman" w:hAnsi="Times New Roman" w:eastAsia="宋体" w:cs="Times New Roman"/>
          <w:bCs/>
          <w:sz w:val="24"/>
          <w:vertAlign w:val="superscript"/>
          <w:lang w:val="en-US" w:eastAsia="zh-CN"/>
        </w:rPr>
        <w:t>3</w:t>
      </w:r>
      <w:r>
        <w:rPr>
          <w:rFonts w:hint="eastAsia" w:ascii="Times New Roman" w:hAnsi="Times New Roman" w:eastAsia="宋体" w:cs="Times New Roman"/>
          <w:bCs/>
          <w:sz w:val="24"/>
          <w:lang w:val="en-US" w:eastAsia="zh-CN"/>
        </w:rPr>
        <w:t>/h，高浓度VOC处理单元处理能力25000m</w:t>
      </w:r>
      <w:r>
        <w:rPr>
          <w:rFonts w:hint="eastAsia" w:ascii="Times New Roman" w:hAnsi="Times New Roman" w:eastAsia="宋体" w:cs="Times New Roman"/>
          <w:bCs/>
          <w:sz w:val="24"/>
          <w:vertAlign w:val="superscript"/>
          <w:lang w:val="en-US" w:eastAsia="zh-CN"/>
        </w:rPr>
        <w:t>3</w:t>
      </w:r>
      <w:r>
        <w:rPr>
          <w:rFonts w:hint="eastAsia" w:ascii="Times New Roman" w:hAnsi="Times New Roman" w:eastAsia="宋体" w:cs="Times New Roman"/>
          <w:bCs/>
          <w:sz w:val="24"/>
          <w:lang w:val="en-US" w:eastAsia="zh-CN"/>
        </w:rPr>
        <w:t>/h</w:t>
      </w:r>
      <w:r>
        <w:rPr>
          <w:rFonts w:hint="default" w:ascii="Times New Roman" w:hAnsi="Times New Roman" w:eastAsia="宋体" w:cs="Times New Roman"/>
          <w:bCs/>
          <w:sz w:val="24"/>
        </w:rPr>
        <w:t>。</w:t>
      </w:r>
    </w:p>
    <w:p>
      <w:pPr>
        <w:pStyle w:val="6"/>
        <w:bidi w:val="0"/>
        <w:rPr>
          <w:rFonts w:hint="default"/>
        </w:rPr>
      </w:pPr>
      <w:bookmarkStart w:id="155" w:name="_Toc20856"/>
      <w:r>
        <w:rPr>
          <w:rFonts w:hint="eastAsia"/>
          <w:lang w:val="en-US" w:eastAsia="zh-CN"/>
        </w:rPr>
        <w:t>3.1.3.3</w:t>
      </w:r>
      <w:r>
        <w:rPr>
          <w:rFonts w:hint="default"/>
        </w:rPr>
        <w:t>噪声污染防治措施</w:t>
      </w:r>
      <w:bookmarkEnd w:id="155"/>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项目正常工况噪声源主要来自各生产装置的机泵、加热炉、空冷器、压缩机、风机、挤压机、火炬及蒸汽和各种气体放空装置、循环水场冷却塔等。主要噪声控制措施包括：加热炉采用低噪声火嘴，并安装消音器；压缩机安装在厂棚内，采用低噪声风机、电机，设置减振装置；控制室采用隔音、吸音材料建造；机泵安装在泵棚内，设减振装置；大型电机加设隔音罩及消声器；气体放空装置加设消声器。为降低各噪声源对环境的噪声污染，主要机械安放在室内等措施加以源强消减，使设备噪声值绝大多数控制在95db(A)以下。</w:t>
      </w:r>
    </w:p>
    <w:p>
      <w:pPr>
        <w:pStyle w:val="6"/>
        <w:bidi w:val="0"/>
        <w:rPr>
          <w:rFonts w:hint="default"/>
        </w:rPr>
      </w:pPr>
      <w:bookmarkStart w:id="156" w:name="_Toc30552"/>
      <w:r>
        <w:rPr>
          <w:rFonts w:hint="eastAsia"/>
          <w:lang w:val="en-US" w:eastAsia="zh-CN"/>
        </w:rPr>
        <w:t>3.1.3</w:t>
      </w:r>
      <w:r>
        <w:rPr>
          <w:rFonts w:hint="default"/>
          <w:lang w:val="en-US" w:eastAsia="zh-CN"/>
        </w:rPr>
        <w:t>.4</w:t>
      </w:r>
      <w:r>
        <w:rPr>
          <w:rFonts w:hint="default"/>
        </w:rPr>
        <w:t>固体废物污染防治措施</w:t>
      </w:r>
      <w:bookmarkEnd w:id="156"/>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公司产生的固体废弃物主要包括一般固体废物和危险废物。一般固体废物主要包括有</w:t>
      </w:r>
      <w:r>
        <w:rPr>
          <w:rFonts w:hint="eastAsia" w:ascii="Times New Roman" w:hAnsi="Times New Roman" w:cs="Times New Roman"/>
          <w:sz w:val="24"/>
          <w:lang w:val="en-US" w:eastAsia="zh-CN"/>
        </w:rPr>
        <w:t>废胶皮、一般固废保温棉</w:t>
      </w:r>
      <w:r>
        <w:rPr>
          <w:rFonts w:hint="default" w:ascii="Times New Roman" w:hAnsi="Times New Roman" w:eastAsia="宋体" w:cs="Times New Roman"/>
          <w:sz w:val="24"/>
        </w:rPr>
        <w:t>。危险废物主要包括含废催化剂、废化学试剂和废油泥。</w:t>
      </w:r>
      <w:r>
        <w:rPr>
          <w:rFonts w:hint="eastAsia" w:ascii="Times New Roman" w:hAnsi="Times New Roman" w:cs="Times New Roman"/>
          <w:sz w:val="24"/>
          <w:lang w:val="en-US" w:eastAsia="zh-CN"/>
        </w:rPr>
        <w:t>危险废物全部委托有资质危废经营企业接受处理</w:t>
      </w:r>
      <w:r>
        <w:rPr>
          <w:rFonts w:hint="default" w:ascii="Times New Roman" w:hAnsi="Times New Roman" w:eastAsia="宋体" w:cs="Times New Roman"/>
          <w:sz w:val="24"/>
        </w:rPr>
        <w:t>。</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（1）危险废物临时贮存措施：公司建有一座危险废物临时贮存库，用于暂存危险废物，临时贮存库占地面积约504m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，建设防风、防雨、通风、照明、消防、锁具、监控、渗滤液收集设施等，设置危险废物标识。危废库地面与墙壁涂刷防渗材料“赛博斯”，根据检测数据，防渗系数为7.8×10</w:t>
      </w:r>
      <w:r>
        <w:rPr>
          <w:rFonts w:hint="default" w:ascii="Times New Roman" w:hAnsi="Times New Roman" w:eastAsia="宋体" w:cs="Times New Roman"/>
          <w:sz w:val="24"/>
          <w:vertAlign w:val="superscript"/>
        </w:rPr>
        <w:t>-13</w:t>
      </w:r>
      <w:r>
        <w:rPr>
          <w:rFonts w:hint="default" w:ascii="Times New Roman" w:hAnsi="Times New Roman" w:eastAsia="宋体" w:cs="Times New Roman"/>
          <w:sz w:val="24"/>
        </w:rPr>
        <w:t>cm/s，小于1.0×10</w:t>
      </w:r>
      <w:r>
        <w:rPr>
          <w:rFonts w:hint="default" w:ascii="Times New Roman" w:hAnsi="Times New Roman" w:eastAsia="宋体" w:cs="Times New Roman"/>
          <w:sz w:val="24"/>
          <w:vertAlign w:val="superscript"/>
        </w:rPr>
        <w:t>-12</w:t>
      </w:r>
      <w:r>
        <w:rPr>
          <w:rFonts w:hint="default" w:ascii="Times New Roman" w:hAnsi="Times New Roman" w:eastAsia="宋体" w:cs="Times New Roman"/>
          <w:sz w:val="24"/>
        </w:rPr>
        <w:t>cm/s。 用于危险废物的分类收集、贮存和堆放，并设专门的管理维护人员。危险废物临时储存场的设计、运行管理、安全防护、运行等执行《危险废物贮存污染控制标准》（GB18597-2001）。</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eastAsia" w:ascii="Times New Roman" w:hAnsi="Times New Roman" w:eastAsia="宋体" w:cs="Times New Roman"/>
          <w:sz w:val="24"/>
          <w:lang w:eastAsia="zh-CN"/>
        </w:rPr>
      </w:pPr>
      <w:r>
        <w:rPr>
          <w:rFonts w:hint="default" w:ascii="Times New Roman" w:hAnsi="Times New Roman" w:eastAsia="宋体" w:cs="Times New Roman"/>
          <w:sz w:val="24"/>
        </w:rPr>
        <w:t>（2）厂外一般固体废物填埋场：公司渣场位于茂盛营村南1.5km处，占地面积39334m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，库区尺寸130m×80m，总容积为15161m</w:t>
      </w:r>
      <w:r>
        <w:rPr>
          <w:rFonts w:hint="default" w:ascii="Times New Roman" w:hAnsi="Times New Roman" w:eastAsia="宋体" w:cs="Times New Roman"/>
          <w:sz w:val="24"/>
          <w:vertAlign w:val="superscript"/>
        </w:rPr>
        <w:t>3</w:t>
      </w:r>
      <w:r>
        <w:rPr>
          <w:rFonts w:hint="default" w:ascii="Times New Roman" w:hAnsi="Times New Roman" w:eastAsia="宋体" w:cs="Times New Roman"/>
          <w:sz w:val="24"/>
        </w:rPr>
        <w:t>，总投资300万元，对公司产生的一般工业固体废物进行填埋等无害化处理。2006年11月，由内蒙古自治区环境科学研究院编制完成《中国石油天然气股份有限公司呼和浩特石化分公司新建排渣场项目专项环境影响评价报告》，呼和浩特市环境保护局2006年12月15日对该渣场给予了批复（呼环批字[2006]19号）。该渣场选址和防渗满足《一般工业固体废物贮存处置场污染控制标准》（GB18599-2001）的要求。</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该</w:t>
      </w:r>
      <w:r>
        <w:rPr>
          <w:rFonts w:hint="default" w:ascii="Times New Roman" w:hAnsi="Times New Roman" w:eastAsia="宋体" w:cs="Times New Roman"/>
          <w:sz w:val="24"/>
        </w:rPr>
        <w:t>一般固体废物填埋场</w:t>
      </w:r>
      <w:r>
        <w:rPr>
          <w:rFonts w:hint="eastAsia" w:ascii="Times New Roman" w:hAnsi="Times New Roman" w:cs="Times New Roman"/>
          <w:sz w:val="24"/>
          <w:lang w:val="en-US" w:eastAsia="zh-CN"/>
        </w:rPr>
        <w:t>目前被政府征用</w:t>
      </w:r>
      <w:r>
        <w:rPr>
          <w:rFonts w:hint="eastAsia" w:ascii="Times New Roman" w:hAnsi="Times New Roman" w:cs="Times New Roman"/>
          <w:sz w:val="24"/>
          <w:lang w:eastAsia="zh-CN"/>
        </w:rPr>
        <w:t>）</w:t>
      </w:r>
    </w:p>
    <w:p>
      <w:pPr>
        <w:pStyle w:val="4"/>
        <w:bidi w:val="0"/>
        <w:outlineLvl w:val="1"/>
        <w:rPr>
          <w:rFonts w:hint="eastAsia" w:ascii="宋体" w:hAnsi="宋体" w:eastAsia="宋体" w:cs="宋体"/>
          <w:lang w:val="en-US" w:eastAsia="zh-CN"/>
        </w:rPr>
      </w:pPr>
      <w:bookmarkStart w:id="157" w:name="_Toc28908"/>
      <w:bookmarkStart w:id="158" w:name="_Toc25258"/>
      <w:r>
        <w:rPr>
          <w:rFonts w:hint="eastAsia" w:ascii="宋体" w:hAnsi="宋体" w:eastAsia="宋体" w:cs="宋体"/>
          <w:lang w:val="en-US" w:eastAsia="zh-CN"/>
        </w:rPr>
        <w:t>3.2项目自然环境概况</w:t>
      </w:r>
      <w:bookmarkEnd w:id="132"/>
      <w:bookmarkEnd w:id="133"/>
      <w:bookmarkEnd w:id="134"/>
      <w:bookmarkEnd w:id="135"/>
      <w:bookmarkEnd w:id="157"/>
      <w:bookmarkEnd w:id="158"/>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 xml:space="preserve">1、地理位置 </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呼和浩特市位于内蒙古自治区中西部，地理坐标为北纬39°35′～41°25′，东经110°31′～112°20′，海拔高度1100m～2300m。呼和浩特金桥经济开发区位于内蒙古自治区首府呼和浩特市区东南部，处于呼和浩特市的重点拓展方向上，与市区相连。</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 xml:space="preserve">2、地形地貌 </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金桥开发区地处大青山山前倾斜平原上，自北向南跨越了两个不同的地貌类型，小黑河以北受大青山山前冲洪积平原中下部地貌控制；小黑河以南主要受小黑河、大黑河河谷地貌及大青山山前冲洪积平原地貌控制；总体地势北高南低，东高西低，平均坡度2～3‰，地势平坦开阔。地面绝对高程在1040m～1052m之间。</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3、气候气象</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呼和浩特市气候特征主要表现为冬季漫长严寒、春季多风干旱、夏季短促温热、秋季气温剧降。据呼和浩特市气象局近3年的气象资料统计，该地区年平均气温为7.7℃，气温年较差为37.5℃，极端最高气温出现在6月份，达34.1℃，极端最低气温出现在12月份，为-26.6℃；年平均气压为895.9hpa，极端最高气压为920.0hpa，极端最低气压为 876.1hpa；年平均相对湿度为58%；年降水量为430mm，降水主要集中在4-9月份，约占全年总降水量的 89.4%；年蒸发量为1301.9mm。</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4、水文特征</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呼和浩特市区河流属黄河水系。流入黄河的一级支流有大黑河、二级支沟由乌素图沟、坝口子沟、红山口沟、哈拉更沟、哈拉沁沟、小井古路板沟、面铺窑沟和三道沟，除大黑河外其他各河流域面积均小于1000km</w:t>
      </w:r>
      <w:r>
        <w:rPr>
          <w:rFonts w:hint="eastAsia" w:eastAsia="宋体" w:cs="Times New Roman"/>
          <w:sz w:val="24"/>
          <w:szCs w:val="24"/>
          <w:vertAlign w:val="superscript"/>
          <w:lang w:val="en-US" w:eastAsia="zh-CN"/>
        </w:rPr>
        <w:t>2</w:t>
      </w:r>
      <w:r>
        <w:rPr>
          <w:rFonts w:hint="eastAsia" w:eastAsia="宋体" w:cs="Times New Roman"/>
          <w:sz w:val="24"/>
          <w:szCs w:val="24"/>
          <w:lang w:val="en-US" w:eastAsia="zh-CN"/>
        </w:rPr>
        <w:t>。大黑河发源于乌兰察布市卓资县十八台，在赛罕区榆林镇上水磨村入境，在托克托县河口镇入黄河，流域面积15911km</w:t>
      </w:r>
      <w:r>
        <w:rPr>
          <w:rFonts w:hint="eastAsia" w:eastAsia="宋体" w:cs="Times New Roman"/>
          <w:sz w:val="24"/>
          <w:szCs w:val="24"/>
          <w:vertAlign w:val="superscript"/>
          <w:lang w:val="en-US" w:eastAsia="zh-CN"/>
        </w:rPr>
        <w:t>2</w:t>
      </w:r>
      <w:r>
        <w:rPr>
          <w:rFonts w:hint="eastAsia" w:eastAsia="宋体" w:cs="Times New Roman"/>
          <w:sz w:val="24"/>
          <w:szCs w:val="24"/>
          <w:lang w:val="en-US" w:eastAsia="zh-CN"/>
        </w:rPr>
        <w:t>。干流全长225.5km，呼和浩特市境内长138.5km。大黑河产流区为山丘区，包括：干流美岱以上山丘区，大青山山丘区和蛮汉山山丘区。干流美岱以上，流域面积4287km</w:t>
      </w:r>
      <w:r>
        <w:rPr>
          <w:rFonts w:hint="eastAsia" w:eastAsia="宋体" w:cs="Times New Roman"/>
          <w:sz w:val="24"/>
          <w:szCs w:val="24"/>
          <w:vertAlign w:val="superscript"/>
          <w:lang w:val="en-US" w:eastAsia="zh-CN"/>
        </w:rPr>
        <w:t>2</w:t>
      </w:r>
      <w:r>
        <w:rPr>
          <w:rFonts w:hint="eastAsia" w:eastAsia="宋体" w:cs="Times New Roman"/>
          <w:sz w:val="24"/>
          <w:szCs w:val="24"/>
          <w:lang w:val="en-US" w:eastAsia="zh-CN"/>
        </w:rPr>
        <w:t>。多年平均径流量为9700万m</w:t>
      </w:r>
      <w:r>
        <w:rPr>
          <w:rFonts w:hint="eastAsia" w:eastAsia="宋体" w:cs="Times New Roman"/>
          <w:sz w:val="24"/>
          <w:szCs w:val="24"/>
          <w:vertAlign w:val="superscript"/>
          <w:lang w:val="en-US" w:eastAsia="zh-CN"/>
        </w:rPr>
        <w:t>2</w:t>
      </w:r>
      <w:r>
        <w:rPr>
          <w:rFonts w:hint="eastAsia" w:eastAsia="宋体" w:cs="Times New Roman"/>
          <w:sz w:val="24"/>
          <w:szCs w:val="24"/>
          <w:lang w:val="en-US" w:eastAsia="zh-CN"/>
        </w:rPr>
        <w:t>/a。</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什拉乌素河发源于凉城县十号乡蛮汉山，于托克托县汇入大黑河，全长72.1km，流域面积780km</w:t>
      </w:r>
      <w:r>
        <w:rPr>
          <w:rFonts w:hint="eastAsia" w:eastAsia="宋体" w:cs="Times New Roman"/>
          <w:sz w:val="24"/>
          <w:szCs w:val="24"/>
          <w:vertAlign w:val="superscript"/>
          <w:lang w:val="en-US" w:eastAsia="zh-CN"/>
        </w:rPr>
        <w:t>2</w:t>
      </w:r>
      <w:r>
        <w:rPr>
          <w:rFonts w:hint="eastAsia" w:eastAsia="宋体" w:cs="Times New Roman"/>
          <w:sz w:val="24"/>
          <w:szCs w:val="24"/>
          <w:lang w:val="en-US" w:eastAsia="zh-CN"/>
        </w:rPr>
        <w:t>。多年平均径流量2221.3万m</w:t>
      </w:r>
      <w:r>
        <w:rPr>
          <w:rFonts w:hint="eastAsia" w:eastAsia="宋体" w:cs="Times New Roman"/>
          <w:sz w:val="24"/>
          <w:szCs w:val="24"/>
          <w:vertAlign w:val="superscript"/>
          <w:lang w:val="en-US" w:eastAsia="zh-CN"/>
        </w:rPr>
        <w:t>2</w:t>
      </w:r>
      <w:r>
        <w:rPr>
          <w:rFonts w:hint="eastAsia" w:eastAsia="宋体" w:cs="Times New Roman"/>
          <w:sz w:val="24"/>
          <w:szCs w:val="24"/>
          <w:lang w:val="en-US" w:eastAsia="zh-CN"/>
        </w:rPr>
        <w:t>/a。</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小黑河，发源于呼和浩特市东部湿地，全长48km。上游有面铺窑子沟等，流域面积1449km</w:t>
      </w:r>
      <w:r>
        <w:rPr>
          <w:rFonts w:hint="eastAsia" w:eastAsia="宋体" w:cs="Times New Roman"/>
          <w:sz w:val="24"/>
          <w:szCs w:val="24"/>
          <w:vertAlign w:val="superscript"/>
          <w:lang w:val="en-US" w:eastAsia="zh-CN"/>
        </w:rPr>
        <w:t>2</w:t>
      </w:r>
      <w:r>
        <w:rPr>
          <w:rFonts w:hint="eastAsia"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呼和浩特市多年平均地表水资源总量4.788×108m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，可利用地表水资源量为3.568×108m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。呼和浩特市地下水资源分布极不均匀，除丘陵山区外，平原区都埋藏有较丰富的地下水，水质较好。全市地下水资源量为9.731×108m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，可开采量为6.009×108m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呼和浩特市多年平均水资源总量为11.878×108m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。其中，黄河流域为10.554×108m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，内陆河流域为1.324×108m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呼和浩特市当地水资源可利用量为9.22×108m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。黄河水利委员会和内蒙古自治区水利厅批准给呼和浩特市的黄河取水指标为5.1×108m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。因此，呼和浩特市水资源可利用总量为14.32×108m</w:t>
      </w:r>
      <w:r>
        <w:rPr>
          <w:rFonts w:hint="eastAsia" w:eastAsia="宋体" w:cs="Times New Roman"/>
          <w:sz w:val="24"/>
          <w:szCs w:val="24"/>
          <w:vertAlign w:val="superscript"/>
          <w:lang w:val="en-US" w:eastAsia="zh-CN"/>
        </w:rPr>
        <w:t>3</w:t>
      </w:r>
      <w:r>
        <w:rPr>
          <w:rFonts w:hint="eastAsia" w:eastAsia="宋体"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 xml:space="preserve">5、水文地质 </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区域水文地质条件主要受区域构造、地形地貌、岩性及气象、水文等诸因素的影响和控制，山区是平原区地下水的补给区，主要接受大气降水补给，形成基岩裂隙水和沟谷孔隙潜水，平原区属于新断陷盆地，盆地内沉积了巨厚的第四纪松散岩类，这是本区地下水水赋存的良好条件。区内还沉积了较稳定的淤泥层，为承压水的形成提供了有利的蓄水条件。本区位于断陷平原边缘的山前地带，岩性颗粒较粗，有利于大气降水和山区基岩裂隙水的侧向补给，地下水资源比较丰富。呼和浩特三面环山，成箕形向西南方向展布，山前冲洪积扇裙构成山前倾斜平原，中部为大黑河冲湖积平原。下部为黄河冲湖积平原，沿地下水迳流方向涌水量和水化学成分有明显的水平分带规律。在乌素图断裂的控制下，在断裂以东的浅层水水量由北向南逐渐增大，水位埋深逐渐变小，在断裂西部扇裙带变窄，水量由北向南逐渐减少，深层承压水涌水量由边缘向湖心方向逐渐减少。</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6、区域地质</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呼和浩特位于内蒙地轴南缘，鄂尔多斯台拗的北缘、河套断陷的东端，河套平原东西向长条展布，由于经历了多次构造运动，使其基底变得极为附中，构成了以东西为主体的线性褶皱，倒转褶皱及逆断层，奠定了东西向构造的主体基础，呼和浩特市中生代形成的断陷盆地，根据已有的物探资料表明，基底构造呈阶梯式地堑构造形态，中生代以来以升降运动为主，由于升降运动的作用，在盆地边缘产生一系列阶梯式断裂，大青山山地强烈抬升，盆地急剧下降，在盆地内沉积了巨厚的新生代河湖相松散岩类堆积，第四系厚度一般为500～1000m，厚度超过1000m，而且呈北深南浅，西深东浅，使盆地成为一个北窄南宽的不对称箕形断陷盆地。</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7、土壤与植被</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呼和浩特地区的土壤类型有灰褐土、草甸土、盐土、栗钙土、栗褐土、沼泽土，风沙土、潮土和新积土等17个亚类。开发区所在区主要分布有栗褐土、草甸土、沼泽土和盐土。开发区所在地区属中温带干旱-半干旱生物气候带，呼和浩特市地处农牧交错地带和典型草原生态系统分布区域，生态环境系统十分脆弱。区域水土流失、风蚀沙化、湿地减少、土壤盐渍化等生态退化问题十分严重。全市森林覆盖率19.28%。城区绿化覆盖率20.45%，人均公共绿地5.9m</w:t>
      </w:r>
      <w:r>
        <w:rPr>
          <w:rFonts w:hint="eastAsia" w:eastAsia="宋体" w:cs="Times New Roman"/>
          <w:sz w:val="24"/>
          <w:szCs w:val="24"/>
          <w:vertAlign w:val="superscript"/>
          <w:lang w:val="en-US" w:eastAsia="zh-CN"/>
        </w:rPr>
        <w:t>2</w:t>
      </w:r>
      <w:r>
        <w:rPr>
          <w:rFonts w:hint="eastAsia" w:eastAsia="宋体" w:cs="Times New Roman"/>
          <w:sz w:val="24"/>
          <w:szCs w:val="24"/>
          <w:lang w:val="en-US" w:eastAsia="zh-CN"/>
        </w:rPr>
        <w:t>。</w:t>
      </w:r>
    </w:p>
    <w:p>
      <w:pPr>
        <w:pStyle w:val="4"/>
        <w:bidi w:val="0"/>
        <w:outlineLvl w:val="1"/>
        <w:rPr>
          <w:rFonts w:hint="eastAsia" w:ascii="宋体" w:hAnsi="宋体" w:eastAsia="宋体" w:cs="宋体"/>
        </w:rPr>
      </w:pPr>
      <w:bookmarkStart w:id="159" w:name="_Toc15935"/>
      <w:bookmarkStart w:id="160" w:name="_Toc8113"/>
      <w:bookmarkStart w:id="161" w:name="_Toc4343"/>
      <w:bookmarkStart w:id="162" w:name="_Toc4710"/>
      <w:bookmarkStart w:id="163" w:name="_Toc24598_WPSOffice_Level2"/>
      <w:bookmarkStart w:id="164" w:name="_Toc9388"/>
      <w:bookmarkStart w:id="165" w:name="_Toc13530"/>
      <w:bookmarkStart w:id="166" w:name="_Toc9293"/>
      <w:bookmarkStart w:id="167" w:name="_Toc8216"/>
      <w:bookmarkStart w:id="168" w:name="_Toc22096"/>
      <w:bookmarkStart w:id="169" w:name="_Toc479063277"/>
      <w:bookmarkStart w:id="170" w:name="_Toc8557"/>
      <w:bookmarkStart w:id="171" w:name="_Toc22933"/>
      <w:r>
        <w:rPr>
          <w:rFonts w:hint="eastAsia" w:ascii="宋体" w:hAnsi="宋体" w:eastAsia="宋体" w:cs="宋体"/>
        </w:rPr>
        <w:t>3</w:t>
      </w:r>
      <w:r>
        <w:rPr>
          <w:rFonts w:hint="eastAsia" w:ascii="宋体" w:hAnsi="宋体" w:eastAsia="宋体" w:cs="宋体"/>
          <w:lang w:val="en-US" w:eastAsia="zh-CN"/>
        </w:rPr>
        <w:t>.</w:t>
      </w:r>
      <w:r>
        <w:rPr>
          <w:rFonts w:hint="eastAsia" w:ascii="宋体" w:hAnsi="宋体" w:eastAsia="宋体" w:cs="宋体"/>
        </w:rPr>
        <w:t>3环境功能区划及环境质量现状</w:t>
      </w:r>
      <w:bookmarkEnd w:id="159"/>
      <w:bookmarkEnd w:id="160"/>
      <w:bookmarkEnd w:id="161"/>
      <w:bookmarkEnd w:id="162"/>
      <w:bookmarkEnd w:id="163"/>
      <w:bookmarkEnd w:id="164"/>
      <w:bookmarkEnd w:id="165"/>
      <w:bookmarkEnd w:id="166"/>
      <w:bookmarkEnd w:id="167"/>
      <w:bookmarkEnd w:id="168"/>
      <w:bookmarkEnd w:id="169"/>
      <w:bookmarkEnd w:id="170"/>
      <w:bookmarkEnd w:id="171"/>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⑴环境功能区划</w:t>
      </w:r>
    </w:p>
    <w:p>
      <w:pPr>
        <w:keepNext w:val="0"/>
        <w:keepLines w:val="0"/>
        <w:pageBreakBefore w:val="0"/>
        <w:kinsoku/>
        <w:wordWrap/>
        <w:overflowPunct/>
        <w:topLinePunct w:val="0"/>
        <w:autoSpaceDE w:val="0"/>
        <w:autoSpaceDN w:val="0"/>
        <w:bidi w:val="0"/>
        <w:spacing w:line="360" w:lineRule="auto"/>
        <w:ind w:firstLine="482"/>
        <w:jc w:val="center"/>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4"/>
          <w:lang w:eastAsia="zh-CN"/>
        </w:rPr>
        <w:t>表</w:t>
      </w:r>
      <w:r>
        <w:rPr>
          <w:rFonts w:hint="eastAsia" w:ascii="宋体" w:hAnsi="宋体" w:eastAsia="宋体" w:cs="宋体"/>
          <w:b/>
          <w:bCs/>
          <w:color w:val="auto"/>
          <w:sz w:val="24"/>
          <w:lang w:val="en-US" w:eastAsia="zh-CN"/>
        </w:rPr>
        <w:t>3.3-1</w:t>
      </w:r>
      <w:r>
        <w:rPr>
          <w:rFonts w:hint="eastAsia" w:ascii="宋体" w:hAnsi="宋体" w:eastAsia="宋体" w:cs="宋体"/>
          <w:b/>
          <w:bCs/>
          <w:color w:val="auto"/>
          <w:sz w:val="24"/>
          <w:lang w:eastAsia="zh-CN"/>
        </w:rPr>
        <w:t xml:space="preserve"> </w:t>
      </w:r>
      <w:r>
        <w:rPr>
          <w:rFonts w:hint="eastAsia" w:ascii="宋体" w:hAnsi="宋体" w:eastAsia="宋体" w:cs="宋体"/>
          <w:b/>
          <w:bCs/>
          <w:color w:val="auto"/>
          <w:sz w:val="21"/>
          <w:szCs w:val="21"/>
          <w:highlight w:val="none"/>
          <w:lang w:val="en-US" w:eastAsia="zh-CN"/>
        </w:rPr>
        <w:t>环境功能区划</w:t>
      </w:r>
    </w:p>
    <w:tbl>
      <w:tblPr>
        <w:tblStyle w:val="2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73"/>
        <w:gridCol w:w="6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3" w:type="dxa"/>
            <w:noWrap w:val="0"/>
            <w:vAlign w:val="center"/>
          </w:tcPr>
          <w:p>
            <w:pPr>
              <w:keepNext w:val="0"/>
              <w:keepLines w:val="0"/>
              <w:pageBreakBefore w:val="0"/>
              <w:kinsoku/>
              <w:wordWrap/>
              <w:overflowPunct/>
              <w:topLinePunct w:val="0"/>
              <w:autoSpaceDE w:val="0"/>
              <w:autoSpaceDN w:val="0"/>
              <w:bidi w:val="0"/>
              <w:spacing w:line="360" w:lineRule="auto"/>
              <w:jc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t>环境要素</w:t>
            </w:r>
          </w:p>
        </w:tc>
        <w:tc>
          <w:tcPr>
            <w:tcW w:w="6693" w:type="dxa"/>
            <w:noWrap w:val="0"/>
            <w:vAlign w:val="center"/>
          </w:tcPr>
          <w:p>
            <w:pPr>
              <w:keepNext w:val="0"/>
              <w:keepLines w:val="0"/>
              <w:pageBreakBefore w:val="0"/>
              <w:kinsoku/>
              <w:wordWrap/>
              <w:overflowPunct/>
              <w:topLinePunct w:val="0"/>
              <w:autoSpaceDE w:val="0"/>
              <w:autoSpaceDN w:val="0"/>
              <w:bidi w:val="0"/>
              <w:spacing w:line="360" w:lineRule="auto"/>
              <w:jc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t>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1773" w:type="dxa"/>
            <w:noWrap w:val="0"/>
            <w:vAlign w:val="center"/>
          </w:tcPr>
          <w:p>
            <w:pPr>
              <w:keepNext w:val="0"/>
              <w:keepLines w:val="0"/>
              <w:pageBreakBefore w:val="0"/>
              <w:kinsoku/>
              <w:wordWrap/>
              <w:overflowPunct/>
              <w:topLinePunct w:val="0"/>
              <w:autoSpaceDE w:val="0"/>
              <w:autoSpaceDN w:val="0"/>
              <w:bidi w:val="0"/>
              <w:spacing w:line="360" w:lineRule="auto"/>
              <w:jc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t>空气环境</w:t>
            </w:r>
          </w:p>
        </w:tc>
        <w:tc>
          <w:tcPr>
            <w:tcW w:w="6693" w:type="dxa"/>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t>《环境空气质量标准》(GB3095-2012)二</w:t>
            </w:r>
            <w:r>
              <w:rPr>
                <w:rFonts w:hint="eastAsia" w:ascii="宋体" w:hAnsi="宋体" w:eastAsia="宋体" w:cs="宋体"/>
                <w:color w:val="auto"/>
                <w:spacing w:val="-8"/>
                <w:sz w:val="21"/>
                <w:szCs w:val="21"/>
                <w:highlight w:val="none"/>
              </w:rPr>
              <w:t>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3" w:type="dxa"/>
            <w:noWrap w:val="0"/>
            <w:vAlign w:val="center"/>
          </w:tcPr>
          <w:p>
            <w:pPr>
              <w:keepNext w:val="0"/>
              <w:keepLines w:val="0"/>
              <w:pageBreakBefore w:val="0"/>
              <w:kinsoku/>
              <w:wordWrap/>
              <w:overflowPunct/>
              <w:topLinePunct w:val="0"/>
              <w:autoSpaceDE w:val="0"/>
              <w:autoSpaceDN w:val="0"/>
              <w:bidi w:val="0"/>
              <w:spacing w:line="360" w:lineRule="auto"/>
              <w:jc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t>地下水</w:t>
            </w:r>
          </w:p>
        </w:tc>
        <w:tc>
          <w:tcPr>
            <w:tcW w:w="6693" w:type="dxa"/>
            <w:noWrap w:val="0"/>
            <w:vAlign w:val="center"/>
          </w:tcPr>
          <w:p>
            <w:pPr>
              <w:keepNext w:val="0"/>
              <w:keepLines w:val="0"/>
              <w:pageBreakBefore w:val="0"/>
              <w:kinsoku/>
              <w:wordWrap/>
              <w:overflowPunct/>
              <w:topLinePunct w:val="0"/>
              <w:autoSpaceDE w:val="0"/>
              <w:autoSpaceDN w:val="0"/>
              <w:bidi w:val="0"/>
              <w:spacing w:line="360" w:lineRule="auto"/>
              <w:jc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rPr>
              <w:t>单井水源保护区</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rPr>
              <w:t>赛罕区城中村饮用水水源地</w:t>
            </w:r>
            <w:r>
              <w:rPr>
                <w:rFonts w:hint="eastAsia" w:ascii="宋体" w:hAnsi="宋体" w:eastAsia="宋体" w:cs="宋体"/>
                <w:color w:val="auto"/>
                <w:sz w:val="21"/>
                <w:szCs w:val="21"/>
                <w:highlight w:val="none"/>
                <w:lang w:eastAsia="zh-CN"/>
              </w:rPr>
              <w:t>，地下水三类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73" w:type="dxa"/>
            <w:noWrap w:val="0"/>
            <w:vAlign w:val="center"/>
          </w:tcPr>
          <w:p>
            <w:pPr>
              <w:keepNext w:val="0"/>
              <w:keepLines w:val="0"/>
              <w:pageBreakBefore w:val="0"/>
              <w:kinsoku/>
              <w:wordWrap/>
              <w:overflowPunct/>
              <w:topLinePunct w:val="0"/>
              <w:autoSpaceDE w:val="0"/>
              <w:autoSpaceDN w:val="0"/>
              <w:bidi w:val="0"/>
              <w:spacing w:line="360" w:lineRule="auto"/>
              <w:jc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lang w:val="en-US" w:eastAsia="zh-CN"/>
              </w:rPr>
              <w:t>土壤</w:t>
            </w:r>
          </w:p>
        </w:tc>
        <w:tc>
          <w:tcPr>
            <w:tcW w:w="6693" w:type="dxa"/>
            <w:noWrap w:val="0"/>
            <w:vAlign w:val="center"/>
          </w:tcPr>
          <w:p>
            <w:pPr>
              <w:keepNext w:val="0"/>
              <w:keepLines w:val="0"/>
              <w:pageBreakBefore w:val="0"/>
              <w:kinsoku/>
              <w:wordWrap/>
              <w:overflowPunct/>
              <w:topLinePunct w:val="0"/>
              <w:autoSpaceDE w:val="0"/>
              <w:autoSpaceDN w:val="0"/>
              <w:bidi w:val="0"/>
              <w:spacing w:line="360" w:lineRule="auto"/>
              <w:jc w:val="center"/>
              <w:rPr>
                <w:rFonts w:hint="eastAsia" w:ascii="宋体" w:hAnsi="宋体" w:eastAsia="宋体" w:cs="宋体"/>
                <w:b/>
                <w:bCs/>
                <w:color w:val="auto"/>
                <w:sz w:val="21"/>
                <w:szCs w:val="21"/>
                <w:highlight w:val="none"/>
                <w:vertAlign w:val="baseline"/>
                <w:lang w:val="en-US" w:eastAsia="zh-CN"/>
              </w:rPr>
            </w:pPr>
            <w:r>
              <w:rPr>
                <w:rFonts w:hint="eastAsia" w:ascii="宋体" w:hAnsi="宋体" w:eastAsia="宋体" w:cs="宋体"/>
                <w:color w:val="auto"/>
                <w:sz w:val="21"/>
                <w:szCs w:val="21"/>
                <w:highlight w:val="none"/>
                <w:lang w:val="en-US" w:eastAsia="zh-CN"/>
              </w:rPr>
              <w:t>建设用地土壤污染风险筛选值，第二类用地</w:t>
            </w:r>
          </w:p>
        </w:tc>
      </w:tr>
    </w:tbl>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⑵环境质量现状</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1、区域达标评价</w:t>
      </w:r>
    </w:p>
    <w:p>
      <w:pPr>
        <w:widowControl/>
        <w:autoSpaceDE w:val="0"/>
        <w:autoSpaceDN w:val="0"/>
        <w:adjustRightInd w:val="0"/>
        <w:spacing w:line="360" w:lineRule="auto"/>
        <w:ind w:firstLine="480"/>
        <w:jc w:val="left"/>
        <w:rPr>
          <w:rFonts w:ascii="宋体" w:hAnsi="宋体"/>
          <w:color w:val="auto"/>
          <w:sz w:val="24"/>
        </w:rPr>
      </w:pPr>
      <w:bookmarkStart w:id="172" w:name="_Toc2706"/>
      <w:bookmarkStart w:id="173" w:name="_Toc13598"/>
      <w:bookmarkStart w:id="174" w:name="_Toc10689"/>
      <w:bookmarkStart w:id="175" w:name="_Toc25628"/>
      <w:r>
        <w:rPr>
          <w:rFonts w:hint="eastAsia" w:ascii="Times New Roman" w:hAnsi="Times New Roman" w:eastAsia="宋体" w:cs="Times New Roman"/>
          <w:color w:val="auto"/>
          <w:kern w:val="0"/>
          <w:sz w:val="24"/>
          <w:lang w:val="en-US" w:eastAsia="zh-CN"/>
        </w:rPr>
        <w:t>根据《环境影响评价技术导则</w:t>
      </w:r>
      <w:r>
        <w:rPr>
          <w:rFonts w:hint="default" w:ascii="Times New Roman" w:hAnsi="Times New Roman" w:eastAsia="宋体" w:cs="Times New Roman"/>
          <w:color w:val="auto"/>
          <w:kern w:val="0"/>
          <w:sz w:val="24"/>
          <w:lang w:val="en-US" w:eastAsia="zh-CN"/>
        </w:rPr>
        <w:t>-</w:t>
      </w:r>
      <w:r>
        <w:rPr>
          <w:rFonts w:hint="eastAsia" w:ascii="Times New Roman" w:hAnsi="Times New Roman" w:eastAsia="宋体" w:cs="Times New Roman"/>
          <w:color w:val="auto"/>
          <w:kern w:val="0"/>
          <w:sz w:val="24"/>
          <w:lang w:val="en-US" w:eastAsia="zh-CN"/>
        </w:rPr>
        <w:t>大气环境》（</w:t>
      </w:r>
      <w:r>
        <w:rPr>
          <w:rFonts w:hint="default" w:ascii="Times New Roman" w:hAnsi="Times New Roman" w:eastAsia="宋体" w:cs="Times New Roman"/>
          <w:color w:val="auto"/>
          <w:kern w:val="0"/>
          <w:sz w:val="24"/>
          <w:lang w:val="en-US" w:eastAsia="zh-CN"/>
        </w:rPr>
        <w:t>HJ2.2-2018</w:t>
      </w:r>
      <w:r>
        <w:rPr>
          <w:rFonts w:hint="eastAsia" w:ascii="Times New Roman" w:hAnsi="Times New Roman" w:eastAsia="宋体" w:cs="Times New Roman"/>
          <w:color w:val="auto"/>
          <w:kern w:val="0"/>
          <w:sz w:val="24"/>
          <w:lang w:val="en-US" w:eastAsia="zh-CN"/>
        </w:rPr>
        <w:t>）相关要求，本次区域环境质量现状采用</w:t>
      </w:r>
      <w:r>
        <w:rPr>
          <w:rFonts w:ascii="宋体" w:hAnsi="宋体"/>
          <w:color w:val="auto"/>
          <w:sz w:val="24"/>
        </w:rPr>
        <w:t>内蒙古自治区生态环境厅发布的《</w:t>
      </w:r>
      <w:r>
        <w:rPr>
          <w:color w:val="auto"/>
          <w:sz w:val="24"/>
        </w:rPr>
        <w:t>202</w:t>
      </w:r>
      <w:r>
        <w:rPr>
          <w:rFonts w:hint="eastAsia"/>
          <w:color w:val="auto"/>
          <w:sz w:val="24"/>
          <w:lang w:val="en-US" w:eastAsia="zh-CN"/>
        </w:rPr>
        <w:t>3</w:t>
      </w:r>
      <w:r>
        <w:rPr>
          <w:rFonts w:ascii="宋体" w:hAnsi="宋体"/>
          <w:color w:val="auto"/>
          <w:sz w:val="24"/>
        </w:rPr>
        <w:t>年内蒙古自治区生态环境状况公报》中呼和浩特市的数据统计，</w:t>
      </w:r>
      <w:r>
        <w:rPr>
          <w:rFonts w:hint="eastAsia" w:ascii="宋体" w:hAnsi="宋体"/>
          <w:color w:val="auto"/>
          <w:sz w:val="24"/>
        </w:rPr>
        <w:t>根据</w:t>
      </w:r>
      <w:r>
        <w:rPr>
          <w:rFonts w:ascii="宋体" w:hAnsi="宋体"/>
          <w:color w:val="auto"/>
          <w:sz w:val="24"/>
        </w:rPr>
        <w:t>环境监测年平均浓度结果显示：呼和浩特市</w:t>
      </w:r>
      <w:r>
        <w:rPr>
          <w:color w:val="auto"/>
          <w:sz w:val="24"/>
        </w:rPr>
        <w:t>20</w:t>
      </w:r>
      <w:r>
        <w:rPr>
          <w:rFonts w:hint="eastAsia"/>
          <w:color w:val="auto"/>
          <w:sz w:val="24"/>
          <w:lang w:val="en-US" w:eastAsia="zh-CN"/>
        </w:rPr>
        <w:t>23</w:t>
      </w:r>
      <w:r>
        <w:rPr>
          <w:rFonts w:ascii="宋体" w:hAnsi="宋体"/>
          <w:color w:val="auto"/>
          <w:sz w:val="24"/>
        </w:rPr>
        <w:t>年基本污染物</w:t>
      </w:r>
      <w:r>
        <w:rPr>
          <w:color w:val="auto"/>
          <w:sz w:val="24"/>
        </w:rPr>
        <w:t>PM</w:t>
      </w:r>
      <w:r>
        <w:rPr>
          <w:color w:val="auto"/>
          <w:sz w:val="24"/>
          <w:vertAlign w:val="subscript"/>
        </w:rPr>
        <w:t>10</w:t>
      </w:r>
      <w:r>
        <w:rPr>
          <w:rFonts w:ascii="宋体" w:hAnsi="宋体"/>
          <w:color w:val="auto"/>
          <w:sz w:val="24"/>
        </w:rPr>
        <w:t>、</w:t>
      </w:r>
      <w:r>
        <w:rPr>
          <w:color w:val="auto"/>
          <w:sz w:val="24"/>
        </w:rPr>
        <w:t>PM</w:t>
      </w:r>
      <w:r>
        <w:rPr>
          <w:color w:val="auto"/>
          <w:sz w:val="24"/>
          <w:vertAlign w:val="subscript"/>
        </w:rPr>
        <w:t>2.5</w:t>
      </w:r>
      <w:r>
        <w:rPr>
          <w:rFonts w:ascii="宋体" w:hAnsi="宋体"/>
          <w:color w:val="auto"/>
          <w:sz w:val="24"/>
        </w:rPr>
        <w:t>、</w:t>
      </w:r>
      <w:r>
        <w:rPr>
          <w:color w:val="auto"/>
          <w:sz w:val="24"/>
        </w:rPr>
        <w:t>SO</w:t>
      </w:r>
      <w:r>
        <w:rPr>
          <w:color w:val="auto"/>
          <w:sz w:val="24"/>
          <w:vertAlign w:val="subscript"/>
        </w:rPr>
        <w:t>2</w:t>
      </w:r>
      <w:r>
        <w:rPr>
          <w:rFonts w:hint="eastAsia" w:ascii="宋体" w:hAnsi="宋体"/>
          <w:color w:val="auto"/>
          <w:sz w:val="24"/>
        </w:rPr>
        <w:t>、</w:t>
      </w:r>
      <w:r>
        <w:rPr>
          <w:color w:val="auto"/>
          <w:sz w:val="24"/>
        </w:rPr>
        <w:t>NO</w:t>
      </w:r>
      <w:r>
        <w:rPr>
          <w:color w:val="auto"/>
          <w:sz w:val="24"/>
          <w:vertAlign w:val="subscript"/>
        </w:rPr>
        <w:t>2</w:t>
      </w:r>
      <w:r>
        <w:rPr>
          <w:rFonts w:ascii="宋体" w:hAnsi="宋体"/>
          <w:color w:val="auto"/>
          <w:sz w:val="24"/>
        </w:rPr>
        <w:t>的日平均质量浓度</w:t>
      </w:r>
      <w:r>
        <w:rPr>
          <w:rFonts w:hint="eastAsia" w:ascii="宋体" w:hAnsi="宋体"/>
          <w:color w:val="auto"/>
          <w:sz w:val="24"/>
        </w:rPr>
        <w:t>，</w:t>
      </w:r>
      <w:r>
        <w:rPr>
          <w:color w:val="auto"/>
          <w:sz w:val="24"/>
        </w:rPr>
        <w:t>O</w:t>
      </w:r>
      <w:r>
        <w:rPr>
          <w:color w:val="auto"/>
          <w:sz w:val="24"/>
          <w:vertAlign w:val="subscript"/>
        </w:rPr>
        <w:t>3</w:t>
      </w:r>
      <w:r>
        <w:rPr>
          <w:rFonts w:hint="eastAsia" w:ascii="宋体" w:hAnsi="宋体"/>
          <w:color w:val="auto"/>
          <w:sz w:val="24"/>
        </w:rPr>
        <w:t>的</w:t>
      </w:r>
      <w:r>
        <w:rPr>
          <w:rFonts w:ascii="宋体" w:hAnsi="宋体"/>
          <w:color w:val="auto"/>
          <w:sz w:val="24"/>
        </w:rPr>
        <w:t>日最大</w:t>
      </w:r>
      <w:r>
        <w:rPr>
          <w:color w:val="auto"/>
          <w:sz w:val="24"/>
        </w:rPr>
        <w:t>8</w:t>
      </w:r>
      <w:r>
        <w:rPr>
          <w:rFonts w:ascii="宋体" w:hAnsi="宋体"/>
          <w:color w:val="auto"/>
          <w:sz w:val="24"/>
        </w:rPr>
        <w:t>小时平均第</w:t>
      </w:r>
      <w:r>
        <w:rPr>
          <w:color w:val="auto"/>
          <w:sz w:val="24"/>
        </w:rPr>
        <w:t>90</w:t>
      </w:r>
      <w:r>
        <w:rPr>
          <w:rFonts w:ascii="宋体" w:hAnsi="宋体"/>
          <w:color w:val="auto"/>
          <w:sz w:val="24"/>
        </w:rPr>
        <w:t>百分位数质量浓度</w:t>
      </w:r>
      <w:r>
        <w:rPr>
          <w:rFonts w:hint="eastAsia" w:ascii="宋体" w:hAnsi="宋体"/>
          <w:color w:val="auto"/>
          <w:sz w:val="24"/>
        </w:rPr>
        <w:t>，</w:t>
      </w:r>
      <w:r>
        <w:rPr>
          <w:color w:val="auto"/>
          <w:sz w:val="24"/>
        </w:rPr>
        <w:t>CO</w:t>
      </w:r>
      <w:r>
        <w:rPr>
          <w:rFonts w:hint="eastAsia" w:ascii="宋体" w:hAnsi="宋体"/>
          <w:color w:val="auto"/>
          <w:sz w:val="24"/>
        </w:rPr>
        <w:t>的</w:t>
      </w:r>
      <w:r>
        <w:rPr>
          <w:color w:val="auto"/>
          <w:sz w:val="24"/>
        </w:rPr>
        <w:t>24</w:t>
      </w:r>
      <w:r>
        <w:rPr>
          <w:rFonts w:ascii="宋体" w:hAnsi="宋体"/>
          <w:color w:val="auto"/>
          <w:sz w:val="24"/>
        </w:rPr>
        <w:t>小时平均第</w:t>
      </w:r>
      <w:r>
        <w:rPr>
          <w:color w:val="auto"/>
          <w:sz w:val="24"/>
        </w:rPr>
        <w:t>95</w:t>
      </w:r>
      <w:r>
        <w:rPr>
          <w:rFonts w:ascii="宋体" w:hAnsi="宋体"/>
          <w:color w:val="auto"/>
          <w:sz w:val="24"/>
        </w:rPr>
        <w:t>百分位数质量浓度</w:t>
      </w:r>
      <w:r>
        <w:rPr>
          <w:rFonts w:hint="eastAsia" w:ascii="宋体" w:hAnsi="宋体"/>
          <w:color w:val="auto"/>
          <w:sz w:val="24"/>
        </w:rPr>
        <w:t>均</w:t>
      </w:r>
      <w:r>
        <w:rPr>
          <w:rFonts w:ascii="宋体" w:hAnsi="宋体"/>
          <w:color w:val="auto"/>
          <w:sz w:val="24"/>
        </w:rPr>
        <w:t>符合《环境空气质量标准》（</w:t>
      </w:r>
      <w:r>
        <w:rPr>
          <w:color w:val="auto"/>
          <w:sz w:val="24"/>
        </w:rPr>
        <w:t>GB3095-2012</w:t>
      </w:r>
      <w:r>
        <w:rPr>
          <w:rFonts w:ascii="宋体" w:hAnsi="宋体"/>
          <w:color w:val="auto"/>
          <w:sz w:val="24"/>
        </w:rPr>
        <w:t>）中</w:t>
      </w:r>
      <w:r>
        <w:rPr>
          <w:rFonts w:hint="eastAsia" w:ascii="宋体" w:hAnsi="宋体"/>
          <w:color w:val="auto"/>
          <w:sz w:val="24"/>
        </w:rPr>
        <w:t>二级标准要求</w:t>
      </w:r>
      <w:r>
        <w:rPr>
          <w:rFonts w:ascii="宋体" w:hAnsi="宋体"/>
          <w:color w:val="auto"/>
          <w:sz w:val="24"/>
        </w:rPr>
        <w:t>，呼和浩特市属于达标区。</w:t>
      </w:r>
    </w:p>
    <w:p>
      <w:pPr>
        <w:pStyle w:val="4"/>
        <w:bidi w:val="0"/>
        <w:outlineLvl w:val="1"/>
        <w:rPr>
          <w:rFonts w:hint="eastAsia" w:ascii="宋体" w:hAnsi="宋体" w:eastAsia="宋体" w:cs="宋体"/>
        </w:rPr>
      </w:pPr>
      <w:bookmarkStart w:id="176" w:name="_Toc20482"/>
      <w:bookmarkStart w:id="177" w:name="_Toc24622"/>
      <w:r>
        <w:rPr>
          <w:rFonts w:hint="eastAsia" w:ascii="宋体" w:hAnsi="宋体" w:eastAsia="宋体" w:cs="宋体"/>
        </w:rPr>
        <w:t>3.</w:t>
      </w:r>
      <w:r>
        <w:rPr>
          <w:rFonts w:hint="eastAsia" w:ascii="宋体" w:hAnsi="宋体" w:eastAsia="宋体" w:cs="宋体"/>
          <w:lang w:val="en-US" w:eastAsia="zh-CN"/>
        </w:rPr>
        <w:t>4</w:t>
      </w:r>
      <w:r>
        <w:rPr>
          <w:rFonts w:hint="eastAsia" w:ascii="宋体" w:hAnsi="宋体" w:eastAsia="宋体" w:cs="宋体"/>
        </w:rPr>
        <w:t>企业周边环境风险受体情况</w:t>
      </w:r>
      <w:bookmarkEnd w:id="172"/>
      <w:bookmarkEnd w:id="173"/>
      <w:bookmarkEnd w:id="174"/>
      <w:bookmarkEnd w:id="175"/>
      <w:bookmarkEnd w:id="176"/>
      <w:bookmarkEnd w:id="177"/>
    </w:p>
    <w:p>
      <w:pPr>
        <w:keepNext w:val="0"/>
        <w:keepLines w:val="0"/>
        <w:widowControl/>
        <w:suppressLineNumbers w:val="0"/>
        <w:ind w:firstLine="512" w:firstLineChars="200"/>
        <w:jc w:val="left"/>
        <w:rPr>
          <w:rFonts w:hint="default" w:ascii="Times New Roman" w:hAnsi="Times New Roman" w:eastAsia="宋体" w:cs="Times New Roman"/>
          <w:sz w:val="24"/>
        </w:rPr>
      </w:pPr>
      <w:r>
        <w:rPr>
          <w:rFonts w:hint="default" w:ascii="Times New Roman" w:hAnsi="Times New Roman" w:eastAsia="宋体" w:cs="Times New Roman"/>
          <w:sz w:val="24"/>
        </w:rPr>
        <w:t>根据</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企业突发环境事件风险分级方法</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（HJ941-2018），大气环境风险受体是指以企业厂区边界计，周边5公里范围内的居住、医疗卫生、文化教育、科研、行政办公、重要基础设施、企业等主要功能区域内的人群、保护单位、植被等</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项目周围5公里主要为园区内其他企业</w:t>
      </w:r>
      <w:r>
        <w:rPr>
          <w:rFonts w:hint="default" w:ascii="Times New Roman" w:hAnsi="Times New Roman" w:eastAsia="宋体" w:cs="Times New Roman"/>
          <w:sz w:val="24"/>
        </w:rPr>
        <w:t>；水环境风险受体是指企业雨水排口（含泄洪渠）、清净下水排口、废水总排口下游</w:t>
      </w:r>
      <w:r>
        <w:rPr>
          <w:rFonts w:hint="default" w:ascii="Times New Roman" w:hAnsi="Times New Roman" w:eastAsia="宋体" w:cs="Times New Roman"/>
          <w:sz w:val="24"/>
          <w:lang w:val="en-US" w:eastAsia="zh-CN"/>
        </w:rPr>
        <w:t>10</w:t>
      </w:r>
      <w:r>
        <w:rPr>
          <w:rFonts w:hint="default" w:ascii="Times New Roman" w:hAnsi="Times New Roman" w:eastAsia="宋体" w:cs="Times New Roman"/>
          <w:sz w:val="24"/>
        </w:rPr>
        <w:t>公里范围内的饮用水水源保护区、自来水厂取水口、自然保护区、重要湿地、特殊生态系统、水产养殖区、鱼虾产卵场、天然渔场等</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项目周围10公里范围内无上述</w:t>
      </w:r>
      <w:r>
        <w:rPr>
          <w:rFonts w:hint="default" w:ascii="Times New Roman" w:hAnsi="Times New Roman" w:eastAsia="宋体" w:cs="Times New Roman"/>
          <w:sz w:val="24"/>
        </w:rPr>
        <w:t>水环境风险受体。</w:t>
      </w:r>
    </w:p>
    <w:p>
      <w:pPr>
        <w:keepNext w:val="0"/>
        <w:keepLines w:val="0"/>
        <w:widowControl/>
        <w:suppressLineNumbers w:val="0"/>
        <w:ind w:firstLine="512" w:firstLineChars="200"/>
        <w:jc w:val="left"/>
        <w:rPr>
          <w:rFonts w:hint="default" w:ascii="Times New Roman" w:hAnsi="Times New Roman" w:eastAsia="宋体" w:cs="Times New Roman"/>
          <w:sz w:val="24"/>
        </w:rPr>
      </w:pPr>
      <w:r>
        <w:rPr>
          <w:rFonts w:hint="eastAsia" w:ascii="Times New Roman" w:hAnsi="Times New Roman" w:eastAsia="宋体" w:cs="Times New Roman"/>
          <w:sz w:val="24"/>
          <w:lang w:eastAsia="zh-CN"/>
        </w:rPr>
        <w:t>根据《中国石油呼和浩特石化公司卫生防护距离核算专题报告》可知：</w:t>
      </w:r>
      <w:r>
        <w:rPr>
          <w:rFonts w:hint="eastAsia" w:ascii="Times New Roman" w:hAnsi="Times New Roman" w:eastAsia="宋体" w:cs="Times New Roman"/>
          <w:sz w:val="24"/>
          <w:lang w:val="en-US" w:eastAsia="zh-CN"/>
        </w:rPr>
        <w:t>呼和浩特石化公司无组织废气卫生防护距离计算最大值为</w:t>
      </w:r>
      <w:r>
        <w:rPr>
          <w:rFonts w:hint="default" w:ascii="Times New Roman" w:hAnsi="Times New Roman" w:eastAsia="宋体" w:cs="Times New Roman"/>
          <w:sz w:val="24"/>
          <w:lang w:val="en-US" w:eastAsia="zh-CN"/>
        </w:rPr>
        <w:t>400m</w:t>
      </w:r>
      <w:r>
        <w:rPr>
          <w:rFonts w:hint="eastAsia" w:ascii="Times New Roman" w:hAnsi="Times New Roman" w:eastAsia="宋体" w:cs="Times New Roman"/>
          <w:sz w:val="24"/>
          <w:lang w:val="en-US" w:eastAsia="zh-CN"/>
        </w:rPr>
        <w:t>，来源于</w:t>
      </w:r>
      <w:r>
        <w:rPr>
          <w:rFonts w:hint="default" w:ascii="Times New Roman" w:hAnsi="Times New Roman" w:eastAsia="宋体" w:cs="Times New Roman"/>
          <w:sz w:val="24"/>
          <w:lang w:val="en-US" w:eastAsia="zh-CN"/>
        </w:rPr>
        <w:t>0.8</w:t>
      </w:r>
      <w:r>
        <w:rPr>
          <w:rFonts w:hint="eastAsia" w:ascii="Times New Roman" w:hAnsi="Times New Roman" w:eastAsia="宋体" w:cs="Times New Roman"/>
          <w:sz w:val="24"/>
          <w:lang w:val="en-US" w:eastAsia="zh-CN"/>
        </w:rPr>
        <w:t>万吨</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年硫磺回收装置；</w:t>
      </w:r>
      <w:r>
        <w:rPr>
          <w:rFonts w:hint="default" w:ascii="Times New Roman" w:hAnsi="Times New Roman" w:eastAsia="宋体" w:cs="Times New Roman"/>
          <w:sz w:val="24"/>
          <w:lang w:val="en-US" w:eastAsia="zh-CN"/>
        </w:rPr>
        <w:t>0.5</w:t>
      </w:r>
      <w:r>
        <w:rPr>
          <w:rFonts w:hint="eastAsia" w:ascii="Times New Roman" w:hAnsi="Times New Roman" w:eastAsia="宋体" w:cs="Times New Roman"/>
          <w:sz w:val="24"/>
          <w:lang w:val="en-US" w:eastAsia="zh-CN"/>
        </w:rPr>
        <w:t>万吨</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年硫磺回收装置卫生防护距离计算最大值为</w:t>
      </w:r>
      <w:r>
        <w:rPr>
          <w:rFonts w:hint="default" w:ascii="Times New Roman" w:hAnsi="Times New Roman" w:eastAsia="宋体" w:cs="Times New Roman"/>
          <w:sz w:val="24"/>
          <w:lang w:val="en-US" w:eastAsia="zh-CN"/>
        </w:rPr>
        <w:t>300m</w:t>
      </w:r>
      <w:r>
        <w:rPr>
          <w:rFonts w:hint="eastAsia" w:ascii="Times New Roman" w:hAnsi="Times New Roman" w:eastAsia="宋体" w:cs="Times New Roman"/>
          <w:sz w:val="24"/>
          <w:lang w:val="en-US" w:eastAsia="zh-CN"/>
        </w:rPr>
        <w:t>；罐区卫生防护距离计算最大值为</w:t>
      </w:r>
      <w:r>
        <w:rPr>
          <w:rFonts w:hint="default" w:ascii="Times New Roman" w:hAnsi="Times New Roman" w:eastAsia="宋体" w:cs="Times New Roman"/>
          <w:sz w:val="24"/>
          <w:lang w:val="en-US" w:eastAsia="zh-CN"/>
        </w:rPr>
        <w:t>300m</w:t>
      </w:r>
      <w:r>
        <w:rPr>
          <w:rFonts w:hint="eastAsia" w:ascii="Times New Roman" w:hAnsi="Times New Roman" w:eastAsia="宋体" w:cs="Times New Roman"/>
          <w:sz w:val="24"/>
          <w:lang w:val="en-US" w:eastAsia="zh-CN"/>
        </w:rPr>
        <w:t>，来源于</w:t>
      </w:r>
      <w:r>
        <w:rPr>
          <w:rFonts w:hint="default" w:ascii="Times New Roman" w:hAnsi="Times New Roman" w:eastAsia="宋体" w:cs="Times New Roman"/>
          <w:sz w:val="24"/>
          <w:lang w:val="en-US" w:eastAsia="zh-CN"/>
        </w:rPr>
        <w:t>2</w:t>
      </w:r>
      <w:r>
        <w:rPr>
          <w:rFonts w:hint="eastAsia" w:ascii="Times New Roman" w:hAnsi="Times New Roman" w:eastAsia="宋体" w:cs="Times New Roman"/>
          <w:sz w:val="24"/>
          <w:lang w:val="en-US" w:eastAsia="zh-CN"/>
        </w:rPr>
        <w:t>座</w:t>
      </w:r>
      <w:r>
        <w:rPr>
          <w:rFonts w:hint="default" w:ascii="Times New Roman" w:hAnsi="Times New Roman" w:eastAsia="宋体" w:cs="Times New Roman"/>
          <w:sz w:val="24"/>
          <w:lang w:val="en-US" w:eastAsia="zh-CN"/>
        </w:rPr>
        <w:t>3</w:t>
      </w:r>
      <w:r>
        <w:rPr>
          <w:rFonts w:hint="eastAsia" w:ascii="Times New Roman" w:hAnsi="Times New Roman" w:eastAsia="宋体" w:cs="Times New Roman"/>
          <w:sz w:val="24"/>
          <w:lang w:val="en-US" w:eastAsia="zh-CN"/>
        </w:rPr>
        <w:t>万立原油储罐罐区；汽车装车栈台防护距离计算最大值为</w:t>
      </w:r>
      <w:r>
        <w:rPr>
          <w:rFonts w:hint="default" w:ascii="Times New Roman" w:hAnsi="Times New Roman" w:eastAsia="宋体" w:cs="Times New Roman"/>
          <w:sz w:val="24"/>
          <w:lang w:val="en-US" w:eastAsia="zh-CN"/>
        </w:rPr>
        <w:t>200m</w:t>
      </w:r>
      <w:r>
        <w:rPr>
          <w:rFonts w:hint="eastAsia" w:ascii="Times New Roman" w:hAnsi="Times New Roman" w:eastAsia="宋体" w:cs="Times New Roman"/>
          <w:sz w:val="24"/>
          <w:lang w:val="en-US" w:eastAsia="zh-CN"/>
        </w:rPr>
        <w:t>，柴油来源于汽车装车栈台；火车装车栈台防护距离计算最大值为</w:t>
      </w:r>
      <w:r>
        <w:rPr>
          <w:rFonts w:hint="default" w:ascii="Times New Roman" w:hAnsi="Times New Roman" w:eastAsia="宋体" w:cs="Times New Roman"/>
          <w:sz w:val="24"/>
          <w:lang w:val="en-US" w:eastAsia="zh-CN"/>
        </w:rPr>
        <w:t>50m</w:t>
      </w:r>
      <w:r>
        <w:rPr>
          <w:rFonts w:hint="eastAsia" w:ascii="Times New Roman" w:hAnsi="Times New Roman" w:eastAsia="宋体" w:cs="Times New Roman"/>
          <w:sz w:val="24"/>
          <w:lang w:val="en-US" w:eastAsia="zh-CN"/>
        </w:rPr>
        <w:t>。厂界北侧外无卫生防护距离，厂界东侧卫生防护距离主要来源于柴油组分罐区、</w:t>
      </w:r>
      <w:r>
        <w:rPr>
          <w:rFonts w:hint="default" w:ascii="Times New Roman" w:hAnsi="Times New Roman" w:eastAsia="宋体" w:cs="Times New Roman"/>
          <w:sz w:val="24"/>
          <w:lang w:val="en-US" w:eastAsia="zh-CN"/>
        </w:rPr>
        <w:t>2</w:t>
      </w:r>
      <w:r>
        <w:rPr>
          <w:rFonts w:hint="eastAsia" w:ascii="Times New Roman" w:hAnsi="Times New Roman" w:eastAsia="宋体" w:cs="Times New Roman"/>
          <w:sz w:val="24"/>
          <w:lang w:val="en-US" w:eastAsia="zh-CN"/>
        </w:rPr>
        <w:t>座</w:t>
      </w:r>
      <w:r>
        <w:rPr>
          <w:rFonts w:hint="default" w:ascii="Times New Roman" w:hAnsi="Times New Roman" w:eastAsia="宋体" w:cs="Times New Roman"/>
          <w:sz w:val="24"/>
          <w:lang w:val="en-US" w:eastAsia="zh-CN"/>
        </w:rPr>
        <w:t>3</w:t>
      </w:r>
      <w:r>
        <w:rPr>
          <w:rFonts w:hint="eastAsia" w:ascii="Times New Roman" w:hAnsi="Times New Roman" w:eastAsia="宋体" w:cs="Times New Roman"/>
          <w:sz w:val="24"/>
          <w:lang w:val="en-US" w:eastAsia="zh-CN"/>
        </w:rPr>
        <w:t>万立原油储罐罐区；厂界南侧卫生防护距离主要来源于</w:t>
      </w:r>
      <w:r>
        <w:rPr>
          <w:rFonts w:hint="default" w:ascii="Times New Roman" w:hAnsi="Times New Roman" w:eastAsia="宋体" w:cs="Times New Roman"/>
          <w:sz w:val="24"/>
          <w:lang w:val="en-US" w:eastAsia="zh-CN"/>
        </w:rPr>
        <w:t>10</w:t>
      </w:r>
      <w:r>
        <w:rPr>
          <w:rFonts w:hint="eastAsia" w:ascii="Times New Roman" w:hAnsi="Times New Roman" w:eastAsia="宋体" w:cs="Times New Roman"/>
          <w:sz w:val="24"/>
          <w:lang w:val="en-US" w:eastAsia="zh-CN"/>
        </w:rPr>
        <w:t>万立原油罐区、柴油罐区、汽油及航煤罐区、</w:t>
      </w:r>
      <w:r>
        <w:rPr>
          <w:rFonts w:hint="default" w:ascii="Times New Roman" w:hAnsi="Times New Roman" w:eastAsia="宋体" w:cs="Times New Roman"/>
          <w:sz w:val="24"/>
          <w:lang w:val="en-US" w:eastAsia="zh-CN"/>
        </w:rPr>
        <w:t>0.5</w:t>
      </w:r>
      <w:r>
        <w:rPr>
          <w:rFonts w:hint="eastAsia" w:ascii="Times New Roman" w:hAnsi="Times New Roman" w:eastAsia="宋体" w:cs="Times New Roman"/>
          <w:sz w:val="24"/>
          <w:lang w:val="en-US" w:eastAsia="zh-CN"/>
        </w:rPr>
        <w:t>万吨</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年硫磺回收装置；厂界西侧卫生防护距离主要来源于</w:t>
      </w:r>
      <w:r>
        <w:rPr>
          <w:rFonts w:hint="default" w:ascii="Times New Roman" w:hAnsi="Times New Roman" w:eastAsia="宋体" w:cs="Times New Roman"/>
          <w:sz w:val="24"/>
          <w:lang w:val="en-US" w:eastAsia="zh-CN"/>
        </w:rPr>
        <w:t>0.8</w:t>
      </w:r>
      <w:r>
        <w:rPr>
          <w:rFonts w:hint="eastAsia" w:ascii="Times New Roman" w:hAnsi="Times New Roman" w:eastAsia="宋体" w:cs="Times New Roman"/>
          <w:sz w:val="24"/>
          <w:lang w:val="en-US" w:eastAsia="zh-CN"/>
        </w:rPr>
        <w:t>万吨</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年硫磺回收装置、</w:t>
      </w:r>
      <w:r>
        <w:rPr>
          <w:rFonts w:hint="default" w:ascii="Times New Roman" w:hAnsi="Times New Roman" w:eastAsia="宋体" w:cs="Times New Roman"/>
          <w:sz w:val="24"/>
          <w:lang w:val="en-US" w:eastAsia="zh-CN"/>
        </w:rPr>
        <w:t>0.5</w:t>
      </w:r>
      <w:r>
        <w:rPr>
          <w:rFonts w:hint="eastAsia" w:ascii="Times New Roman" w:hAnsi="Times New Roman" w:eastAsia="宋体" w:cs="Times New Roman"/>
          <w:sz w:val="24"/>
          <w:lang w:val="en-US" w:eastAsia="zh-CN"/>
        </w:rPr>
        <w:t>万吨</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年硫磺回收装置、催化裂化装置。在上述卫生防护距离范围内无居民区、学校、医院等敏感区分布。</w:t>
      </w:r>
    </w:p>
    <w:p>
      <w:pPr>
        <w:keepNext w:val="0"/>
        <w:keepLines w:val="0"/>
        <w:widowControl/>
        <w:suppressLineNumbers w:val="0"/>
        <w:ind w:firstLine="512" w:firstLineChars="200"/>
        <w:jc w:val="left"/>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根据《中国石油天然气股份有限公司呼和浩特石化分公司500万吨/年炼油生产装置安全现状评价报告》可知：项目周边各类别防护目标均不在相应的外部安全防护距离内，项目区域总体外部安全防护距离满足《危险化学品生产装置和储存设施风险基准》（GB36894-2018）中相关要求。</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jc w:val="left"/>
        <w:textAlignment w:val="auto"/>
        <w:rPr>
          <w:rFonts w:hint="eastAsia" w:ascii="Times New Roman" w:hAnsi="Times New Roman" w:eastAsia="宋体" w:cs="Times New Roman"/>
          <w:kern w:val="0"/>
          <w:sz w:val="24"/>
          <w:szCs w:val="24"/>
          <w:lang w:val="en-US" w:eastAsia="zh-CN"/>
        </w:rPr>
      </w:pPr>
      <w:r>
        <w:rPr>
          <w:rFonts w:hint="default" w:ascii="Times New Roman" w:hAnsi="Times New Roman" w:eastAsia="宋体" w:cs="Times New Roman"/>
          <w:sz w:val="24"/>
        </w:rPr>
        <w:t>环境风险受体</w:t>
      </w:r>
      <w:r>
        <w:rPr>
          <w:rFonts w:hint="eastAsia" w:ascii="Times New Roman" w:hAnsi="Times New Roman" w:eastAsia="宋体" w:cs="Times New Roman"/>
          <w:sz w:val="24"/>
          <w:lang w:val="en-US" w:eastAsia="zh-CN"/>
        </w:rPr>
        <w:t>如下表：</w:t>
      </w:r>
    </w:p>
    <w:p>
      <w:pPr>
        <w:keepNext w:val="0"/>
        <w:keepLines w:val="0"/>
        <w:pageBreakBefore w:val="0"/>
        <w:widowControl w:val="0"/>
        <w:kinsoku/>
        <w:wordWrap/>
        <w:overflowPunct/>
        <w:topLinePunct w:val="0"/>
        <w:autoSpaceDE/>
        <w:autoSpaceDN/>
        <w:bidi w:val="0"/>
        <w:adjustRightInd/>
        <w:snapToGrid/>
        <w:spacing w:line="360" w:lineRule="auto"/>
        <w:ind w:firstLine="512" w:firstLineChars="200"/>
        <w:jc w:val="center"/>
        <w:textAlignment w:val="auto"/>
        <w:rPr>
          <w:rFonts w:hint="eastAsia" w:eastAsia="宋体" w:cs="Times New Roman"/>
          <w:sz w:val="24"/>
          <w:szCs w:val="24"/>
          <w:lang w:val="en-US" w:eastAsia="zh-CN"/>
        </w:rPr>
      </w:pPr>
      <w:r>
        <w:rPr>
          <w:rFonts w:hint="eastAsia" w:eastAsia="宋体" w:cs="Times New Roman"/>
          <w:sz w:val="24"/>
          <w:szCs w:val="24"/>
          <w:lang w:val="en-US" w:eastAsia="zh-CN"/>
        </w:rPr>
        <w:t>表3.4-1 项目周边环境风险受体</w:t>
      </w:r>
      <w:bookmarkStart w:id="178" w:name="_Toc478820584"/>
      <w:bookmarkStart w:id="179" w:name="_Toc13852"/>
      <w:bookmarkStart w:id="180" w:name="_Toc14396"/>
      <w:bookmarkStart w:id="181" w:name="_Toc31860"/>
      <w:bookmarkStart w:id="182" w:name="_Toc26895"/>
      <w:bookmarkStart w:id="183" w:name="_Toc11541"/>
      <w:bookmarkStart w:id="184" w:name="_Toc3403"/>
      <w:bookmarkStart w:id="185" w:name="_Toc29281"/>
      <w:bookmarkStart w:id="186" w:name="_Toc28875"/>
      <w:bookmarkStart w:id="187" w:name="_Toc9659"/>
      <w:bookmarkStart w:id="188" w:name="_Toc10682"/>
      <w:bookmarkStart w:id="189" w:name="_Toc20774"/>
      <w:bookmarkStart w:id="190" w:name="_Toc28296"/>
    </w:p>
    <w:tbl>
      <w:tblPr>
        <w:tblStyle w:val="21"/>
        <w:tblW w:w="4998"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493"/>
        <w:gridCol w:w="2568"/>
        <w:gridCol w:w="1031"/>
        <w:gridCol w:w="724"/>
        <w:gridCol w:w="1948"/>
        <w:gridCol w:w="1483"/>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环境要素</w:t>
            </w: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保护目标</w:t>
            </w:r>
          </w:p>
        </w:tc>
        <w:tc>
          <w:tcPr>
            <w:tcW w:w="691"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eastAsia="zh-CN"/>
              </w:rPr>
              <w:t>方位</w:t>
            </w:r>
            <w:r>
              <w:rPr>
                <w:rFonts w:hint="eastAsia" w:ascii="宋体" w:hAnsi="宋体" w:eastAsia="宋体" w:cs="宋体"/>
                <w:color w:val="auto"/>
                <w:highlight w:val="none"/>
                <w:lang w:val="en-US" w:eastAsia="zh-CN"/>
              </w:rPr>
              <w:t>/</w:t>
            </w:r>
          </w:p>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距离</w:t>
            </w:r>
            <w:r>
              <w:rPr>
                <w:rFonts w:hint="eastAsia" w:ascii="宋体" w:hAnsi="宋体" w:cs="宋体"/>
                <w:color w:val="auto"/>
                <w:highlight w:val="none"/>
                <w:lang w:eastAsia="zh-CN"/>
              </w:rPr>
              <w:t>（</w:t>
            </w:r>
            <w:r>
              <w:rPr>
                <w:rFonts w:hint="eastAsia" w:ascii="宋体" w:hAnsi="宋体" w:cs="宋体"/>
                <w:color w:val="auto"/>
                <w:highlight w:val="none"/>
                <w:lang w:val="en-US" w:eastAsia="zh-CN"/>
              </w:rPr>
              <w:t>km</w:t>
            </w:r>
            <w:r>
              <w:rPr>
                <w:rFonts w:hint="eastAsia" w:ascii="宋体" w:hAnsi="宋体" w:cs="宋体"/>
                <w:color w:val="auto"/>
                <w:highlight w:val="none"/>
                <w:lang w:eastAsia="zh-CN"/>
              </w:rPr>
              <w:t>）</w:t>
            </w:r>
          </w:p>
        </w:tc>
        <w:tc>
          <w:tcPr>
            <w:tcW w:w="504"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人数</w:t>
            </w:r>
          </w:p>
        </w:tc>
        <w:tc>
          <w:tcPr>
            <w:tcW w:w="1246"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联系方式</w:t>
            </w:r>
          </w:p>
        </w:tc>
        <w:tc>
          <w:tcPr>
            <w:tcW w:w="569"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保护要求</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restar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空气环境</w:t>
            </w:r>
          </w:p>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风险</w:t>
            </w: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val="en-US" w:eastAsia="zh-CN"/>
              </w:rPr>
              <w:t>中石油（内蒙古）新材料有限责任公司</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紧邻</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default"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default" w:ascii="宋体" w:hAnsi="宋体" w:eastAsia="宋体" w:cs="宋体"/>
                <w:color w:val="auto"/>
                <w:kern w:val="0"/>
                <w:sz w:val="21"/>
                <w:szCs w:val="21"/>
                <w:highlight w:val="none"/>
                <w:lang w:val="en-US" w:eastAsia="zh-CN"/>
              </w:rPr>
            </w:pPr>
            <w:r>
              <w:rPr>
                <w:rFonts w:hint="default" w:ascii="Times New Roman" w:hAnsi="Times New Roman" w:cs="Times New Roman"/>
                <w:bCs/>
                <w:sz w:val="21"/>
                <w:szCs w:val="21"/>
              </w:rPr>
              <w:t>0471-5607006</w:t>
            </w:r>
          </w:p>
        </w:tc>
        <w:tc>
          <w:tcPr>
            <w:tcW w:w="569" w:type="pct"/>
            <w:vMerge w:val="restar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《环境空气质量标准》</w:t>
            </w:r>
          </w:p>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(GB3095-2012)二</w:t>
            </w:r>
          </w:p>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pacing w:val="-8"/>
                <w:sz w:val="21"/>
                <w:szCs w:val="21"/>
                <w:highlight w:val="none"/>
              </w:rPr>
              <w:t>级标准；事故状态下对下风向居民</w:t>
            </w:r>
            <w:r>
              <w:rPr>
                <w:rFonts w:hint="eastAsia" w:ascii="宋体" w:hAnsi="宋体" w:eastAsia="宋体" w:cs="宋体"/>
                <w:color w:val="auto"/>
                <w:spacing w:val="-14"/>
                <w:sz w:val="21"/>
                <w:szCs w:val="21"/>
                <w:highlight w:val="none"/>
              </w:rPr>
              <w:t>进行应急疏散，减轻对敏感点的影响</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内蒙古物西水泥有限公司</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0.1/S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0471-3908382</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pacing w:val="-8"/>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永域建材（呼和浩特）有限公司</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0.1/S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13722114779</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pacing w:val="-8"/>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内蒙古蒙联石油化工有限公司</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1.1/SE</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0471-3284984</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pacing w:val="-8"/>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内蒙古神州硅业有限责任公司</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1.2/S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0471-5260270</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天津中环光伏材料有限公司</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1.5/SE</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1000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0471-3252375</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金桥电厂</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1.8/S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1000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0471-2395031</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炼油厂家属区</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1.8/N</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1500</w:t>
            </w:r>
          </w:p>
        </w:tc>
        <w:tc>
          <w:tcPr>
            <w:tcW w:w="1246" w:type="pct"/>
            <w:vMerge w:val="restar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sz w:val="21"/>
                <w:szCs w:val="21"/>
                <w:highlight w:val="none"/>
              </w:rPr>
              <w:t>金桥开发区应急管理办公室</w:t>
            </w:r>
          </w:p>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0471-3364038</w:t>
            </w:r>
          </w:p>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金河镇政府应急办公室</w:t>
            </w:r>
          </w:p>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0471-4512506</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化肥厂家属区</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2.1/N</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1500</w:t>
            </w:r>
          </w:p>
        </w:tc>
        <w:tc>
          <w:tcPr>
            <w:tcW w:w="1246" w:type="pct"/>
            <w:vMerge w:val="continue"/>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质靓小区</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2.2/N</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1000</w:t>
            </w:r>
          </w:p>
        </w:tc>
        <w:tc>
          <w:tcPr>
            <w:tcW w:w="1246" w:type="pct"/>
            <w:vMerge w:val="continue"/>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锦绣嘉苑小区</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2.2/WN</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2000</w:t>
            </w:r>
          </w:p>
        </w:tc>
        <w:tc>
          <w:tcPr>
            <w:tcW w:w="1246" w:type="pct"/>
            <w:vMerge w:val="continue"/>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理想佳院小区</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2.8/WN</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2500</w:t>
            </w:r>
          </w:p>
        </w:tc>
        <w:tc>
          <w:tcPr>
            <w:tcW w:w="1246" w:type="pct"/>
            <w:vMerge w:val="continue"/>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景苑佳地小区</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3.2/WN</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2000</w:t>
            </w:r>
          </w:p>
        </w:tc>
        <w:tc>
          <w:tcPr>
            <w:tcW w:w="1246" w:type="pct"/>
            <w:vMerge w:val="continue"/>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姚府村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2.4/W</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15848304581</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西黑河村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3.2/WS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2500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0471-5151360</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西庄村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4.3/WS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500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0471-5687079</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杨家营村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4.1/WS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1000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0471-8684500</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新营子村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1.7</w:t>
            </w:r>
            <w:r>
              <w:rPr>
                <w:rFonts w:hint="eastAsia" w:ascii="宋体" w:hAnsi="宋体" w:eastAsia="宋体" w:cs="宋体"/>
                <w:color w:val="auto"/>
                <w:kern w:val="0"/>
                <w:sz w:val="21"/>
                <w:szCs w:val="21"/>
                <w:highlight w:val="none"/>
                <w:lang w:val="en-US" w:eastAsia="zh-CN"/>
              </w:rPr>
              <w:t>/WS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3500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王振江18647964323</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天平营村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0.71</w:t>
            </w:r>
            <w:r>
              <w:rPr>
                <w:rFonts w:hint="eastAsia" w:ascii="宋体" w:hAnsi="宋体" w:eastAsia="宋体" w:cs="宋体"/>
                <w:color w:val="auto"/>
                <w:kern w:val="0"/>
                <w:sz w:val="21"/>
                <w:szCs w:val="21"/>
                <w:highlight w:val="none"/>
                <w:lang w:val="en-US" w:eastAsia="zh-CN"/>
              </w:rPr>
              <w:t>/WS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范伟东13514718233</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茂盛营</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2.3</w:t>
            </w:r>
            <w:r>
              <w:rPr>
                <w:rFonts w:hint="eastAsia" w:ascii="宋体" w:hAnsi="宋体" w:eastAsia="宋体" w:cs="宋体"/>
                <w:color w:val="auto"/>
                <w:kern w:val="0"/>
                <w:sz w:val="21"/>
                <w:szCs w:val="21"/>
                <w:highlight w:val="none"/>
                <w:lang w:val="en-US" w:eastAsia="zh-CN"/>
              </w:rPr>
              <w:t>/S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3000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银富春</w:t>
            </w:r>
            <w:r>
              <w:rPr>
                <w:rFonts w:hint="eastAsia" w:ascii="宋体" w:hAnsi="宋体" w:eastAsia="宋体" w:cs="宋体"/>
                <w:color w:val="auto"/>
                <w:sz w:val="21"/>
                <w:szCs w:val="21"/>
                <w:highlight w:val="none"/>
              </w:rPr>
              <w:t>13848113588</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旭泥板村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2.8</w:t>
            </w:r>
            <w:r>
              <w:rPr>
                <w:rFonts w:hint="eastAsia" w:ascii="宋体" w:hAnsi="宋体" w:eastAsia="宋体" w:cs="宋体"/>
                <w:color w:val="auto"/>
                <w:kern w:val="0"/>
                <w:sz w:val="21"/>
                <w:szCs w:val="21"/>
                <w:highlight w:val="none"/>
                <w:lang w:val="en-US" w:eastAsia="zh-CN"/>
              </w:rPr>
              <w:t>/ES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3500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云福威</w:t>
            </w:r>
            <w:r>
              <w:rPr>
                <w:rFonts w:hint="eastAsia" w:ascii="宋体" w:hAnsi="宋体" w:eastAsia="宋体" w:cs="宋体"/>
                <w:color w:val="auto"/>
                <w:sz w:val="21"/>
                <w:szCs w:val="21"/>
                <w:highlight w:val="none"/>
              </w:rPr>
              <w:t>13664789666</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后白庙村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0.58</w:t>
            </w:r>
            <w:r>
              <w:rPr>
                <w:rFonts w:hint="eastAsia" w:ascii="宋体" w:hAnsi="宋体" w:eastAsia="宋体" w:cs="宋体"/>
                <w:color w:val="auto"/>
                <w:kern w:val="0"/>
                <w:sz w:val="21"/>
                <w:szCs w:val="21"/>
                <w:highlight w:val="none"/>
                <w:lang w:val="en-US" w:eastAsia="zh-CN"/>
              </w:rPr>
              <w:t>/ES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4500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张伟</w:t>
            </w:r>
            <w:r>
              <w:rPr>
                <w:rFonts w:hint="eastAsia" w:ascii="宋体" w:hAnsi="宋体" w:eastAsia="宋体" w:cs="宋体"/>
                <w:color w:val="auto"/>
                <w:sz w:val="21"/>
                <w:szCs w:val="21"/>
                <w:highlight w:val="none"/>
              </w:rPr>
              <w:t>13948414988</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前白庙村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cs="宋体"/>
                <w:color w:val="auto"/>
                <w:kern w:val="0"/>
                <w:sz w:val="21"/>
                <w:szCs w:val="21"/>
                <w:highlight w:val="none"/>
                <w:lang w:val="en-US" w:eastAsia="zh-CN"/>
              </w:rPr>
              <w:t>2.4</w:t>
            </w:r>
            <w:r>
              <w:rPr>
                <w:rFonts w:hint="eastAsia" w:ascii="宋体" w:hAnsi="宋体" w:eastAsia="宋体" w:cs="宋体"/>
                <w:color w:val="auto"/>
                <w:kern w:val="0"/>
                <w:sz w:val="21"/>
                <w:szCs w:val="21"/>
                <w:highlight w:val="none"/>
                <w:lang w:val="en-US" w:eastAsia="zh-CN"/>
              </w:rPr>
              <w:t>/ES</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5000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宁二平</w:t>
            </w:r>
            <w:r>
              <w:rPr>
                <w:rFonts w:hint="eastAsia" w:ascii="宋体" w:hAnsi="宋体" w:eastAsia="宋体" w:cs="宋体"/>
                <w:color w:val="auto"/>
                <w:sz w:val="21"/>
                <w:szCs w:val="21"/>
                <w:highlight w:val="none"/>
              </w:rPr>
              <w:t>18747118480</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八拜</w:t>
            </w:r>
            <w:r>
              <w:rPr>
                <w:rFonts w:hint="eastAsia" w:ascii="宋体" w:hAnsi="宋体" w:eastAsia="宋体" w:cs="宋体"/>
                <w:color w:val="auto"/>
                <w:sz w:val="21"/>
                <w:szCs w:val="21"/>
                <w:highlight w:val="none"/>
                <w:lang w:eastAsia="zh-CN"/>
              </w:rPr>
              <w:t>村</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cs="宋体"/>
                <w:color w:val="auto"/>
                <w:kern w:val="0"/>
                <w:sz w:val="21"/>
                <w:szCs w:val="21"/>
                <w:highlight w:val="none"/>
                <w:lang w:val="en-US" w:eastAsia="zh-CN"/>
              </w:rPr>
              <w:t>0.2</w:t>
            </w:r>
            <w:r>
              <w:rPr>
                <w:rFonts w:hint="eastAsia" w:ascii="宋体" w:hAnsi="宋体" w:eastAsia="宋体" w:cs="宋体"/>
                <w:color w:val="auto"/>
                <w:kern w:val="0"/>
                <w:sz w:val="21"/>
                <w:szCs w:val="21"/>
                <w:highlight w:val="none"/>
                <w:lang w:val="en-US" w:eastAsia="zh-CN"/>
              </w:rPr>
              <w:t>/</w:t>
            </w:r>
            <w:r>
              <w:rPr>
                <w:rFonts w:hint="eastAsia" w:ascii="宋体" w:hAnsi="宋体" w:cs="宋体"/>
                <w:color w:val="auto"/>
                <w:kern w:val="0"/>
                <w:sz w:val="21"/>
                <w:szCs w:val="21"/>
                <w:highlight w:val="none"/>
                <w:lang w:val="en-US" w:eastAsia="zh-CN"/>
              </w:rPr>
              <w:t>N</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6000</w:t>
            </w:r>
          </w:p>
        </w:tc>
        <w:tc>
          <w:tcPr>
            <w:tcW w:w="1246"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0471-3351386</w:t>
            </w:r>
          </w:p>
        </w:tc>
        <w:tc>
          <w:tcPr>
            <w:tcW w:w="569"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65" w:type="pct"/>
            <w:vMerge w:val="restar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地下水环境风险</w:t>
            </w: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单井水源保护区</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1246" w:type="pct"/>
            <w:vMerge w:val="restar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呼和浩特市赛罕区水务局</w:t>
            </w:r>
          </w:p>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0471-4344680</w:t>
            </w:r>
          </w:p>
        </w:tc>
        <w:tc>
          <w:tcPr>
            <w:tcW w:w="569"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14" w:hRule="atLeast"/>
        </w:trPr>
        <w:tc>
          <w:tcPr>
            <w:tcW w:w="365" w:type="pct"/>
            <w:vMerge w:val="continue"/>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p>
        </w:tc>
        <w:tc>
          <w:tcPr>
            <w:tcW w:w="1622"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赛罕区城中村饮用水水源地</w:t>
            </w:r>
          </w:p>
        </w:tc>
        <w:tc>
          <w:tcPr>
            <w:tcW w:w="691"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504" w:type="pct"/>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kern w:val="0"/>
                <w:sz w:val="21"/>
                <w:szCs w:val="21"/>
                <w:highlight w:val="none"/>
                <w:lang w:val="en-US" w:eastAsia="zh-CN"/>
              </w:rPr>
              <w:t>/</w:t>
            </w:r>
          </w:p>
        </w:tc>
        <w:tc>
          <w:tcPr>
            <w:tcW w:w="1246" w:type="pct"/>
            <w:vMerge w:val="continue"/>
            <w:noWrap w:val="0"/>
            <w:vAlign w:val="center"/>
          </w:tcPr>
          <w:p>
            <w:pPr>
              <w:pageBreakBefore w:val="0"/>
              <w:widowControl/>
              <w:wordWrap/>
              <w:topLinePunct w:val="0"/>
              <w:bidi w:val="0"/>
              <w:adjustRightInd w:val="0"/>
              <w:snapToGrid w:val="0"/>
              <w:spacing w:line="240" w:lineRule="auto"/>
              <w:ind w:left="0" w:leftChars="0" w:right="0" w:rightChars="0"/>
              <w:jc w:val="center"/>
              <w:rPr>
                <w:rFonts w:hint="eastAsia" w:ascii="宋体" w:hAnsi="宋体" w:eastAsia="宋体" w:cs="宋体"/>
                <w:color w:val="auto"/>
                <w:kern w:val="0"/>
                <w:sz w:val="21"/>
                <w:szCs w:val="21"/>
                <w:highlight w:val="none"/>
              </w:rPr>
            </w:pPr>
          </w:p>
        </w:tc>
        <w:tc>
          <w:tcPr>
            <w:tcW w:w="569" w:type="pct"/>
            <w:noWrap w:val="0"/>
            <w:vAlign w:val="center"/>
          </w:tcPr>
          <w:p>
            <w:pPr>
              <w:pageBreakBefore w:val="0"/>
              <w:wordWrap/>
              <w:topLinePunct w:val="0"/>
              <w:bidi w:val="0"/>
              <w:adjustRightInd w:val="0"/>
              <w:snapToGrid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bl>
    <w:p>
      <w:pPr>
        <w:pStyle w:val="12"/>
        <w:rPr>
          <w:rFonts w:hint="eastAsia" w:eastAsia="宋体" w:cs="Times New Roman"/>
          <w:sz w:val="24"/>
          <w:szCs w:val="24"/>
          <w:lang w:val="en-US" w:eastAsia="zh-CN"/>
        </w:rPr>
        <w:sectPr>
          <w:headerReference r:id="rId3" w:type="default"/>
          <w:footerReference r:id="rId4" w:type="default"/>
          <w:pgSz w:w="11850" w:h="16783"/>
          <w:pgMar w:top="1440" w:right="1800" w:bottom="1440" w:left="1800" w:header="851" w:footer="964" w:gutter="0"/>
          <w:pgBorders w:offsetFrom="page">
            <w:top w:val="none" w:sz="0" w:space="0"/>
            <w:left w:val="none" w:sz="0" w:space="0"/>
            <w:bottom w:val="none" w:sz="0" w:space="0"/>
            <w:right w:val="none" w:sz="0" w:space="0"/>
          </w:pgBorders>
          <w:pgNumType w:fmt="decimal" w:start="1"/>
          <w:cols w:space="720" w:num="1"/>
          <w:docGrid w:type="linesAndChars" w:linePitch="466" w:charSpace="3430"/>
        </w:sectPr>
      </w:pPr>
    </w:p>
    <w:p>
      <w:pPr>
        <w:bidi w:val="0"/>
        <w:jc w:val="center"/>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drawing>
          <wp:inline distT="0" distB="0" distL="114300" distR="114300">
            <wp:extent cx="7807960" cy="5201920"/>
            <wp:effectExtent l="0" t="0" r="2540" b="17780"/>
            <wp:docPr id="28" name="图片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1"/>
                    <pic:cNvPicPr>
                      <a:picLocks noChangeAspect="1"/>
                    </pic:cNvPicPr>
                  </pic:nvPicPr>
                  <pic:blipFill>
                    <a:blip r:embed="rId33"/>
                    <a:stretch>
                      <a:fillRect/>
                    </a:stretch>
                  </pic:blipFill>
                  <pic:spPr>
                    <a:xfrm>
                      <a:off x="0" y="0"/>
                      <a:ext cx="7807960" cy="5201920"/>
                    </a:xfrm>
                    <a:prstGeom prst="rect">
                      <a:avLst/>
                    </a:prstGeom>
                  </pic:spPr>
                </pic:pic>
              </a:graphicData>
            </a:graphic>
          </wp:inline>
        </w:drawing>
      </w:r>
    </w:p>
    <w:p>
      <w:pPr>
        <w:bidi w:val="0"/>
        <w:jc w:val="center"/>
        <w:rPr>
          <w:rFonts w:hint="eastAsia" w:ascii="宋体" w:hAnsi="宋体" w:eastAsia="宋体" w:cs="宋体"/>
          <w:lang w:val="en-US" w:eastAsia="zh-CN"/>
        </w:rPr>
        <w:sectPr>
          <w:pgSz w:w="16783" w:h="11850" w:orient="landscape"/>
          <w:pgMar w:top="782" w:right="1440" w:bottom="1066" w:left="1440" w:header="851" w:footer="964" w:gutter="0"/>
          <w:pgBorders w:offsetFrom="page">
            <w:top w:val="none" w:sz="0" w:space="0"/>
            <w:left w:val="none" w:sz="0" w:space="0"/>
            <w:bottom w:val="none" w:sz="0" w:space="0"/>
            <w:right w:val="none" w:sz="0" w:space="0"/>
          </w:pgBorders>
          <w:pgNumType w:fmt="decimal"/>
          <w:cols w:space="720" w:num="1"/>
          <w:docGrid w:type="linesAndChars" w:linePitch="466" w:charSpace="3430"/>
        </w:sectPr>
      </w:pPr>
      <w:r>
        <w:rPr>
          <w:rFonts w:hint="eastAsia" w:ascii="宋体" w:hAnsi="宋体" w:cs="宋体"/>
          <w:color w:val="auto"/>
          <w:sz w:val="24"/>
          <w:szCs w:val="24"/>
          <w:highlight w:val="none"/>
          <w:lang w:eastAsia="zh-CN"/>
        </w:rPr>
        <w:t>图</w:t>
      </w:r>
      <w:r>
        <w:rPr>
          <w:rFonts w:hint="eastAsia" w:ascii="宋体" w:hAnsi="宋体" w:eastAsia="宋体" w:cs="宋体"/>
          <w:color w:val="auto"/>
          <w:sz w:val="24"/>
          <w:szCs w:val="24"/>
          <w:highlight w:val="none"/>
          <w:lang w:val="en-US" w:eastAsia="zh-CN"/>
        </w:rPr>
        <w:t xml:space="preserve">3.4-1 </w:t>
      </w:r>
      <w:r>
        <w:rPr>
          <w:rFonts w:hint="eastAsia" w:ascii="宋体" w:hAnsi="宋体" w:eastAsia="宋体" w:cs="宋体"/>
          <w:color w:val="auto"/>
          <w:sz w:val="24"/>
          <w:szCs w:val="24"/>
          <w:highlight w:val="none"/>
          <w:lang w:eastAsia="zh-CN"/>
        </w:rPr>
        <w:t>环境风险受体图</w:t>
      </w:r>
    </w:p>
    <w:p>
      <w:pPr>
        <w:pStyle w:val="4"/>
        <w:bidi w:val="0"/>
        <w:outlineLvl w:val="1"/>
        <w:rPr>
          <w:rFonts w:hint="eastAsia" w:ascii="宋体" w:hAnsi="宋体" w:eastAsia="宋体" w:cs="宋体"/>
        </w:rPr>
      </w:pPr>
      <w:bookmarkStart w:id="191" w:name="_Toc31651"/>
      <w:bookmarkStart w:id="192" w:name="_Toc14667"/>
      <w:r>
        <w:rPr>
          <w:rFonts w:hint="eastAsia" w:ascii="宋体" w:hAnsi="宋体" w:eastAsia="宋体" w:cs="宋体"/>
          <w:lang w:val="en-US" w:eastAsia="zh-CN"/>
        </w:rPr>
        <w:t>3.5</w:t>
      </w:r>
      <w:r>
        <w:rPr>
          <w:rFonts w:hint="eastAsia" w:ascii="宋体" w:hAnsi="宋体" w:eastAsia="宋体" w:cs="宋体"/>
        </w:rPr>
        <w:t>风险识别</w:t>
      </w:r>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建设项目风险识别范围包括</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原辅材料、产品、中间产品的</w:t>
      </w:r>
      <w:r>
        <w:rPr>
          <w:rFonts w:hint="eastAsia" w:ascii="Times New Roman" w:hAnsi="Times New Roman" w:eastAsia="宋体" w:cs="Times New Roman"/>
          <w:sz w:val="24"/>
          <w:lang w:val="en-US" w:eastAsia="zh-CN"/>
        </w:rPr>
        <w:t>风险物质</w:t>
      </w:r>
      <w:r>
        <w:rPr>
          <w:rFonts w:hint="default" w:ascii="Times New Roman" w:hAnsi="Times New Roman" w:eastAsia="宋体" w:cs="Times New Roman"/>
          <w:sz w:val="24"/>
        </w:rPr>
        <w:t>识别</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生产过程中的风险识别，储运系统风险识别等随时可能产生的风险。</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lang w:val="en-US" w:eastAsia="zh-CN"/>
        </w:rPr>
        <w:t>根</w:t>
      </w:r>
      <w:r>
        <w:rPr>
          <w:rFonts w:hint="default" w:ascii="Times New Roman" w:hAnsi="Times New Roman" w:eastAsia="宋体" w:cs="Times New Roman"/>
          <w:sz w:val="24"/>
        </w:rPr>
        <w:t>据《企业突发环境事件风险分级方法》（HJ941-2018）中附录A中列出的突发环境事件风险物质及临界量清单，对本项目生产过程中使用、存放和</w:t>
      </w:r>
      <w:r>
        <w:rPr>
          <w:rFonts w:hint="default" w:ascii="Times New Roman" w:hAnsi="Times New Roman" w:eastAsia="宋体" w:cs="Times New Roman"/>
          <w:sz w:val="24"/>
          <w:lang w:val="en-US" w:eastAsia="zh-CN"/>
        </w:rPr>
        <w:t>释放</w:t>
      </w:r>
      <w:r>
        <w:rPr>
          <w:rFonts w:hint="default" w:ascii="Times New Roman" w:hAnsi="Times New Roman" w:eastAsia="宋体" w:cs="Times New Roman"/>
          <w:sz w:val="24"/>
        </w:rPr>
        <w:t>的物质进行环境风险识别和判定。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生产过程风险识别包括</w:t>
      </w:r>
      <w:r>
        <w:rPr>
          <w:rFonts w:hint="eastAsia" w:ascii="Times New Roman" w:hAnsi="Times New Roman" w:eastAsia="宋体" w:cs="Times New Roman"/>
          <w:sz w:val="24"/>
          <w:lang w:val="en-US" w:eastAsia="zh-CN"/>
        </w:rPr>
        <w:t>主要</w:t>
      </w:r>
      <w:r>
        <w:rPr>
          <w:rFonts w:hint="default" w:ascii="Times New Roman" w:hAnsi="Times New Roman" w:eastAsia="宋体" w:cs="Times New Roman"/>
          <w:sz w:val="24"/>
        </w:rPr>
        <w:t>装置及其相应的配套和辅助设施、公辅工程和环保工程涉及到的危险物质（如输水管线和输油管线等）、工程中的催化裂化装置、重整装置（预加氢单元）、煤柴油加氢精制装置、柴油加氢改质装置、聚丙烯装置，上述装置均属于危险化工工艺，都存在污染环境的可能。</w:t>
      </w:r>
    </w:p>
    <w:p>
      <w:pPr>
        <w:pStyle w:val="5"/>
        <w:bidi w:val="0"/>
        <w:rPr>
          <w:rFonts w:hint="default" w:ascii="Times New Roman" w:hAnsi="Times New Roman" w:eastAsia="宋体" w:cs="Times New Roman"/>
          <w:b/>
          <w:bCs/>
          <w:kern w:val="0"/>
          <w:sz w:val="24"/>
          <w:szCs w:val="24"/>
          <w:lang w:val="en-US" w:eastAsia="zh-CN"/>
        </w:rPr>
      </w:pPr>
      <w:bookmarkStart w:id="193" w:name="_Toc6981"/>
      <w:r>
        <w:rPr>
          <w:rFonts w:hint="eastAsia"/>
          <w:lang w:val="en-US" w:eastAsia="zh-CN"/>
        </w:rPr>
        <w:t>3.5.1</w:t>
      </w:r>
      <w:r>
        <w:rPr>
          <w:rFonts w:hint="default" w:ascii="Times New Roman" w:hAnsi="Times New Roman" w:eastAsia="宋体" w:cs="Times New Roman"/>
          <w:b/>
          <w:bCs/>
          <w:kern w:val="0"/>
          <w:sz w:val="24"/>
          <w:szCs w:val="24"/>
          <w:lang w:val="en-US" w:eastAsia="zh-CN"/>
        </w:rPr>
        <w:t>环境风险物质识别</w:t>
      </w:r>
      <w:bookmarkEnd w:id="193"/>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eastAsiaTheme="minorEastAsia"/>
          <w:sz w:val="24"/>
          <w:lang w:val="en-US" w:eastAsia="zh-CN"/>
        </w:rPr>
      </w:pPr>
      <w:r>
        <w:rPr>
          <w:rFonts w:hint="eastAsia" w:ascii="Times New Roman" w:hAnsi="Times New Roman" w:cs="Times New Roman"/>
          <w:sz w:val="24"/>
          <w:lang w:eastAsia="zh-CN"/>
        </w:rPr>
        <w:t>（</w:t>
      </w:r>
      <w:r>
        <w:rPr>
          <w:rFonts w:hint="eastAsia" w:ascii="Times New Roman" w:hAnsi="Times New Roman" w:cs="Times New Roman"/>
          <w:sz w:val="24"/>
          <w:lang w:val="en-US" w:eastAsia="zh-CN"/>
        </w:rPr>
        <w:t>1</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全厂原辅材料、产品、中间产品</w:t>
      </w:r>
    </w:p>
    <w:p>
      <w:pPr>
        <w:spacing w:line="500" w:lineRule="exact"/>
        <w:ind w:left="0" w:firstLine="480" w:firstLineChars="200"/>
        <w:rPr>
          <w:rFonts w:hint="eastAsia" w:ascii="Times New Roman" w:hAnsi="Times New Roman" w:eastAsia="宋体" w:cs="Times New Roman"/>
          <w:sz w:val="24"/>
          <w:lang w:val="en-US" w:eastAsia="zh-CN"/>
        </w:rPr>
        <w:sectPr>
          <w:pgSz w:w="11906" w:h="16838"/>
          <w:pgMar w:top="1440" w:right="1134" w:bottom="1440" w:left="1701" w:header="851" w:footer="567" w:gutter="0"/>
          <w:pgBorders w:offsetFrom="page">
            <w:top w:val="none" w:sz="0" w:space="0"/>
            <w:left w:val="none" w:sz="0" w:space="0"/>
            <w:bottom w:val="none" w:sz="0" w:space="0"/>
            <w:right w:val="none" w:sz="0" w:space="0"/>
          </w:pgBorders>
          <w:pgNumType w:fmt="decimal"/>
          <w:cols w:space="720" w:num="1"/>
          <w:docGrid w:type="linesAndChars" w:linePitch="312" w:charSpace="0"/>
        </w:sectPr>
      </w:pPr>
      <w:r>
        <w:rPr>
          <w:rFonts w:hint="default" w:ascii="Times New Roman" w:hAnsi="Times New Roman" w:eastAsia="宋体" w:cs="Times New Roman"/>
          <w:sz w:val="24"/>
          <w:lang w:val="en-US" w:eastAsia="zh-CN"/>
        </w:rPr>
        <w:t>根据项目</w:t>
      </w:r>
      <w:r>
        <w:rPr>
          <w:rFonts w:hint="eastAsia" w:ascii="Times New Roman" w:hAnsi="Times New Roman" w:eastAsia="宋体" w:cs="Times New Roman"/>
          <w:sz w:val="24"/>
          <w:lang w:val="en-US" w:eastAsia="zh-CN"/>
        </w:rPr>
        <w:t>生产工艺，本项目涉及的</w:t>
      </w:r>
      <w:r>
        <w:rPr>
          <w:rFonts w:hint="default" w:ascii="Times New Roman" w:hAnsi="Times New Roman" w:eastAsia="宋体" w:cs="Times New Roman"/>
          <w:sz w:val="24"/>
        </w:rPr>
        <w:t>原</w:t>
      </w:r>
      <w:r>
        <w:rPr>
          <w:rFonts w:hint="eastAsia" w:ascii="Times New Roman" w:hAnsi="Times New Roman" w:eastAsia="宋体" w:cs="Times New Roman"/>
          <w:sz w:val="24"/>
        </w:rPr>
        <w:t>辅</w:t>
      </w:r>
      <w:r>
        <w:rPr>
          <w:rFonts w:hint="default" w:ascii="Times New Roman" w:hAnsi="Times New Roman" w:eastAsia="宋体" w:cs="Times New Roman"/>
          <w:sz w:val="24"/>
        </w:rPr>
        <w:t>材料、</w:t>
      </w:r>
      <w:r>
        <w:rPr>
          <w:rFonts w:hint="eastAsia" w:ascii="Times New Roman" w:hAnsi="Times New Roman" w:eastAsia="宋体" w:cs="Times New Roman"/>
          <w:sz w:val="24"/>
        </w:rPr>
        <w:t>产</w:t>
      </w:r>
      <w:r>
        <w:rPr>
          <w:rFonts w:hint="default" w:ascii="Times New Roman" w:hAnsi="Times New Roman" w:eastAsia="宋体" w:cs="Times New Roman"/>
          <w:sz w:val="24"/>
        </w:rPr>
        <w:t>品、中</w:t>
      </w:r>
      <w:r>
        <w:rPr>
          <w:rFonts w:hint="eastAsia" w:ascii="Times New Roman" w:hAnsi="Times New Roman" w:eastAsia="宋体" w:cs="Times New Roman"/>
          <w:sz w:val="24"/>
        </w:rPr>
        <w:t>间产</w:t>
      </w:r>
      <w:r>
        <w:rPr>
          <w:rFonts w:hint="default" w:ascii="Times New Roman" w:hAnsi="Times New Roman" w:eastAsia="宋体" w:cs="Times New Roman"/>
          <w:sz w:val="24"/>
        </w:rPr>
        <w:t>品</w:t>
      </w:r>
      <w:r>
        <w:rPr>
          <w:rFonts w:hint="eastAsia" w:ascii="Times New Roman" w:hAnsi="Times New Roman" w:eastAsia="宋体" w:cs="Times New Roman"/>
          <w:sz w:val="24"/>
          <w:lang w:val="en-US" w:eastAsia="zh-CN"/>
        </w:rPr>
        <w:t>汇总为下表：</w:t>
      </w:r>
    </w:p>
    <w:p>
      <w:pPr>
        <w:jc w:val="center"/>
        <w:rPr>
          <w:rFonts w:hint="default" w:ascii="Times New Roman" w:hAnsi="Times New Roman" w:cs="Times New Roman"/>
          <w:b/>
          <w:sz w:val="24"/>
        </w:rPr>
      </w:pPr>
      <w:r>
        <w:rPr>
          <w:rFonts w:hint="default" w:ascii="Times New Roman" w:hAnsi="Times New Roman" w:cs="Times New Roman"/>
          <w:b/>
          <w:sz w:val="24"/>
          <w:lang w:val="en-US" w:eastAsia="zh-CN"/>
        </w:rPr>
        <w:t>表3.</w:t>
      </w:r>
      <w:r>
        <w:rPr>
          <w:rFonts w:hint="eastAsia" w:ascii="Times New Roman" w:hAnsi="Times New Roman" w:cs="Times New Roman"/>
          <w:b/>
          <w:sz w:val="24"/>
          <w:lang w:val="en-US" w:eastAsia="zh-CN"/>
        </w:rPr>
        <w:t>5</w:t>
      </w:r>
      <w:r>
        <w:rPr>
          <w:rFonts w:hint="default" w:ascii="Times New Roman" w:hAnsi="Times New Roman" w:cs="Times New Roman"/>
          <w:b/>
          <w:sz w:val="24"/>
          <w:lang w:val="en-US" w:eastAsia="zh-CN"/>
        </w:rPr>
        <w:t>-1   原辅材料、产品、中间产品</w:t>
      </w:r>
      <w:r>
        <w:rPr>
          <w:rFonts w:hint="default" w:ascii="Times New Roman" w:hAnsi="Times New Roman" w:cs="Times New Roman"/>
          <w:b/>
          <w:sz w:val="24"/>
        </w:rPr>
        <w:t>清单</w:t>
      </w:r>
    </w:p>
    <w:tbl>
      <w:tblPr>
        <w:tblStyle w:val="21"/>
        <w:tblW w:w="4996" w:type="pct"/>
        <w:jc w:val="center"/>
        <w:tblLayout w:type="fixed"/>
        <w:tblCellMar>
          <w:top w:w="0" w:type="dxa"/>
          <w:left w:w="108" w:type="dxa"/>
          <w:bottom w:w="0" w:type="dxa"/>
          <w:right w:w="108" w:type="dxa"/>
        </w:tblCellMar>
      </w:tblPr>
      <w:tblGrid>
        <w:gridCol w:w="510"/>
        <w:gridCol w:w="646"/>
        <w:gridCol w:w="916"/>
        <w:gridCol w:w="930"/>
        <w:gridCol w:w="960"/>
        <w:gridCol w:w="2955"/>
        <w:gridCol w:w="1305"/>
        <w:gridCol w:w="1740"/>
        <w:gridCol w:w="1860"/>
        <w:gridCol w:w="1425"/>
        <w:gridCol w:w="917"/>
      </w:tblGrid>
      <w:tr>
        <w:tblPrEx>
          <w:tblCellMar>
            <w:top w:w="0" w:type="dxa"/>
            <w:left w:w="108" w:type="dxa"/>
            <w:bottom w:w="0" w:type="dxa"/>
            <w:right w:w="108" w:type="dxa"/>
          </w:tblCellMar>
        </w:tblPrEx>
        <w:trPr>
          <w:trHeight w:val="900" w:hRule="atLeast"/>
          <w:tblHeader/>
          <w:jc w:val="center"/>
        </w:trPr>
        <w:tc>
          <w:tcPr>
            <w:tcW w:w="180"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序号</w:t>
            </w:r>
          </w:p>
        </w:tc>
        <w:tc>
          <w:tcPr>
            <w:tcW w:w="228"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属地单位</w:t>
            </w:r>
          </w:p>
        </w:tc>
        <w:tc>
          <w:tcPr>
            <w:tcW w:w="323"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名称</w:t>
            </w:r>
          </w:p>
        </w:tc>
        <w:tc>
          <w:tcPr>
            <w:tcW w:w="328"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组成</w:t>
            </w:r>
          </w:p>
        </w:tc>
        <w:tc>
          <w:tcPr>
            <w:tcW w:w="338"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CAS号</w:t>
            </w:r>
          </w:p>
        </w:tc>
        <w:tc>
          <w:tcPr>
            <w:tcW w:w="1043"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危险性类别</w:t>
            </w:r>
          </w:p>
        </w:tc>
        <w:tc>
          <w:tcPr>
            <w:tcW w:w="460"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分类（采购、中间产品、生产成品）</w:t>
            </w:r>
          </w:p>
        </w:tc>
        <w:tc>
          <w:tcPr>
            <w:tcW w:w="614"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存储数量/质量</w:t>
            </w:r>
          </w:p>
        </w:tc>
        <w:tc>
          <w:tcPr>
            <w:tcW w:w="656"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存储地点</w:t>
            </w:r>
          </w:p>
        </w:tc>
        <w:tc>
          <w:tcPr>
            <w:tcW w:w="503"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存储区域</w:t>
            </w:r>
          </w:p>
        </w:tc>
        <w:tc>
          <w:tcPr>
            <w:tcW w:w="323"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包装类别</w:t>
            </w:r>
          </w:p>
        </w:tc>
      </w:tr>
      <w:tr>
        <w:tblPrEx>
          <w:tblCellMar>
            <w:top w:w="0" w:type="dxa"/>
            <w:left w:w="108" w:type="dxa"/>
            <w:bottom w:w="0" w:type="dxa"/>
            <w:right w:w="108" w:type="dxa"/>
          </w:tblCellMar>
        </w:tblPrEx>
        <w:trPr>
          <w:trHeight w:val="312"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苯</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纯苯</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71-43-2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易燃液体,类别2皮肤腐蚀/刺激,类别2严重眼损伤/眼刺激,类别2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生产</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lang w:val="en-US" w:eastAsia="zh-CN"/>
              </w:rPr>
              <w:t>2</w:t>
            </w:r>
            <w:r>
              <w:rPr>
                <w:rFonts w:hint="eastAsia" w:ascii="宋体" w:hAnsi="宋体" w:eastAsia="宋体" w:cs="宋体"/>
                <w:sz w:val="18"/>
                <w:szCs w:val="18"/>
              </w:rPr>
              <w:t>×</w:t>
            </w:r>
            <w:r>
              <w:rPr>
                <w:rFonts w:hint="eastAsia" w:ascii="宋体" w:hAnsi="宋体" w:eastAsia="宋体" w:cs="宋体"/>
                <w:sz w:val="18"/>
                <w:szCs w:val="18"/>
                <w:lang w:val="en-US" w:eastAsia="zh-CN"/>
              </w:rPr>
              <w:t>10</w:t>
            </w:r>
            <w:r>
              <w:rPr>
                <w:rFonts w:hint="eastAsia" w:ascii="宋体" w:hAnsi="宋体" w:eastAsia="宋体" w:cs="宋体"/>
                <w:sz w:val="18"/>
                <w:szCs w:val="18"/>
              </w:rPr>
              <w:t>00m³/1680t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606、607、610、611罐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汽油组分一罐区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121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甲醇</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甲基和羟基</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67-56-1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类别2；</w:t>
            </w:r>
            <w:r>
              <w:rPr>
                <w:rFonts w:hint="eastAsia" w:ascii="宋体" w:hAnsi="宋体" w:eastAsia="宋体" w:cs="宋体"/>
                <w:sz w:val="18"/>
                <w:szCs w:val="18"/>
              </w:rPr>
              <w:br w:type="textWrapping"/>
            </w:r>
            <w:r>
              <w:rPr>
                <w:rFonts w:hint="eastAsia" w:ascii="宋体" w:hAnsi="宋体" w:eastAsia="宋体" w:cs="宋体"/>
                <w:sz w:val="18"/>
                <w:szCs w:val="18"/>
              </w:rPr>
              <w:t>急性毒性-经口   类别3；</w:t>
            </w:r>
            <w:r>
              <w:rPr>
                <w:rFonts w:hint="eastAsia" w:ascii="宋体" w:hAnsi="宋体" w:eastAsia="宋体" w:cs="宋体"/>
                <w:sz w:val="18"/>
                <w:szCs w:val="18"/>
              </w:rPr>
              <w:br w:type="textWrapping"/>
            </w:r>
            <w:r>
              <w:rPr>
                <w:rFonts w:hint="eastAsia" w:ascii="宋体" w:hAnsi="宋体" w:eastAsia="宋体" w:cs="宋体"/>
                <w:sz w:val="18"/>
                <w:szCs w:val="18"/>
              </w:rPr>
              <w:t>急性毒性-经皮   类别3；</w:t>
            </w:r>
            <w:r>
              <w:rPr>
                <w:rFonts w:hint="eastAsia" w:ascii="宋体" w:hAnsi="宋体" w:eastAsia="宋体" w:cs="宋体"/>
                <w:sz w:val="18"/>
                <w:szCs w:val="18"/>
              </w:rPr>
              <w:br w:type="textWrapping"/>
            </w:r>
            <w:r>
              <w:rPr>
                <w:rFonts w:hint="eastAsia" w:ascii="宋体" w:hAnsi="宋体" w:eastAsia="宋体" w:cs="宋体"/>
                <w:sz w:val="18"/>
                <w:szCs w:val="18"/>
              </w:rPr>
              <w:t>急性毒性-吸入   类别3；</w:t>
            </w:r>
            <w:r>
              <w:rPr>
                <w:rFonts w:hint="eastAsia" w:ascii="宋体" w:hAnsi="宋体" w:eastAsia="宋体" w:cs="宋体"/>
                <w:sz w:val="18"/>
                <w:szCs w:val="18"/>
              </w:rPr>
              <w:br w:type="textWrapping"/>
            </w:r>
            <w:r>
              <w:rPr>
                <w:rFonts w:hint="eastAsia" w:ascii="宋体" w:hAnsi="宋体" w:eastAsia="宋体" w:cs="宋体"/>
                <w:sz w:val="18"/>
                <w:szCs w:val="18"/>
              </w:rPr>
              <w:t>特异性靶器官毒性-一次接触   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w:t>
            </w:r>
            <w:r>
              <w:rPr>
                <w:rFonts w:hint="eastAsia" w:ascii="宋体" w:hAnsi="宋体" w:eastAsia="宋体" w:cs="宋体"/>
                <w:sz w:val="18"/>
                <w:szCs w:val="18"/>
                <w:lang w:val="en-US" w:eastAsia="zh-CN"/>
              </w:rPr>
              <w:t>10</w:t>
            </w:r>
            <w:r>
              <w:rPr>
                <w:rFonts w:hint="eastAsia" w:ascii="宋体" w:hAnsi="宋体" w:eastAsia="宋体" w:cs="宋体"/>
                <w:sz w:val="18"/>
                <w:szCs w:val="18"/>
              </w:rPr>
              <w:t>00m³/1236t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110、111罐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重整柴油加氢原料罐区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139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液化石油气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3</w:t>
            </w:r>
            <w:r>
              <w:rPr>
                <w:rFonts w:hint="eastAsia" w:ascii="宋体" w:hAnsi="宋体" w:eastAsia="宋体" w:cs="宋体"/>
                <w:sz w:val="18"/>
                <w:szCs w:val="18"/>
              </w:rPr>
              <w:t>+C</w:t>
            </w:r>
            <w:r>
              <w:rPr>
                <w:rFonts w:hint="eastAsia" w:ascii="宋体" w:hAnsi="宋体" w:eastAsia="宋体" w:cs="宋体"/>
                <w:sz w:val="18"/>
                <w:szCs w:val="18"/>
                <w:vertAlign w:val="subscript"/>
              </w:rPr>
              <w:t>4</w:t>
            </w:r>
            <w:r>
              <w:rPr>
                <w:rFonts w:hint="eastAsia" w:ascii="宋体" w:hAnsi="宋体" w:eastAsia="宋体" w:cs="宋体"/>
                <w:sz w:val="18"/>
                <w:szCs w:val="18"/>
              </w:rPr>
              <w:t xml:space="preserve"> 烃类组分（丙烯、异丁烷、丙烷、正丁烷及丁烯类）</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74-98-6/106-98-9/72-28-5/115-07-1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    类别1；</w:t>
            </w:r>
            <w:r>
              <w:rPr>
                <w:rFonts w:hint="eastAsia" w:ascii="宋体" w:hAnsi="宋体" w:eastAsia="宋体" w:cs="宋体"/>
                <w:sz w:val="18"/>
                <w:szCs w:val="18"/>
              </w:rPr>
              <w:br w:type="textWrapping"/>
            </w:r>
            <w:r>
              <w:rPr>
                <w:rFonts w:hint="eastAsia" w:ascii="宋体" w:hAnsi="宋体" w:eastAsia="宋体" w:cs="宋体"/>
                <w:sz w:val="18"/>
                <w:szCs w:val="18"/>
              </w:rPr>
              <w:t>加压气体    液化气体；</w:t>
            </w:r>
            <w:r>
              <w:rPr>
                <w:rFonts w:hint="eastAsia" w:ascii="宋体" w:hAnsi="宋体" w:eastAsia="宋体" w:cs="宋体"/>
                <w:sz w:val="18"/>
                <w:szCs w:val="18"/>
              </w:rPr>
              <w:br w:type="textWrapping"/>
            </w:r>
            <w:r>
              <w:rPr>
                <w:rFonts w:hint="eastAsia" w:ascii="宋体" w:hAnsi="宋体" w:eastAsia="宋体" w:cs="宋体"/>
                <w:sz w:val="18"/>
                <w:szCs w:val="18"/>
              </w:rPr>
              <w:t>急性毒性-经口  类别5；</w:t>
            </w:r>
            <w:r>
              <w:rPr>
                <w:rFonts w:hint="eastAsia" w:ascii="宋体" w:hAnsi="宋体" w:eastAsia="宋体" w:cs="宋体"/>
                <w:sz w:val="18"/>
                <w:szCs w:val="18"/>
              </w:rPr>
              <w:br w:type="textWrapping"/>
            </w:r>
            <w:r>
              <w:rPr>
                <w:rFonts w:hint="eastAsia" w:ascii="宋体" w:hAnsi="宋体" w:eastAsia="宋体" w:cs="宋体"/>
                <w:sz w:val="18"/>
                <w:szCs w:val="18"/>
              </w:rPr>
              <w:t>急性毒性-经皮  类别5；</w:t>
            </w:r>
            <w:r>
              <w:rPr>
                <w:rFonts w:hint="eastAsia" w:ascii="宋体" w:hAnsi="宋体" w:eastAsia="宋体" w:cs="宋体"/>
                <w:sz w:val="18"/>
                <w:szCs w:val="18"/>
              </w:rPr>
              <w:br w:type="textWrapping"/>
            </w:r>
            <w:r>
              <w:rPr>
                <w:rFonts w:hint="eastAsia" w:ascii="宋体" w:hAnsi="宋体" w:eastAsia="宋体" w:cs="宋体"/>
                <w:sz w:val="18"/>
                <w:szCs w:val="18"/>
              </w:rPr>
              <w:t>急性毒性-吸入  类别5</w:t>
            </w:r>
            <w:r>
              <w:rPr>
                <w:rFonts w:hint="eastAsia" w:ascii="宋体" w:hAnsi="宋体" w:eastAsia="宋体" w:cs="宋体"/>
                <w:sz w:val="18"/>
                <w:szCs w:val="18"/>
              </w:rPr>
              <w:br w:type="textWrapping"/>
            </w:r>
            <w:r>
              <w:rPr>
                <w:rFonts w:hint="eastAsia" w:ascii="宋体" w:hAnsi="宋体" w:eastAsia="宋体" w:cs="宋体"/>
                <w:sz w:val="18"/>
                <w:szCs w:val="18"/>
              </w:rPr>
              <w:t>生殖细胞致突变性  类别1B</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6×3000m³/5700t</w:t>
            </w:r>
            <w:r>
              <w:rPr>
                <w:rFonts w:hint="eastAsia" w:ascii="宋体" w:hAnsi="宋体" w:eastAsia="宋体" w:cs="宋体"/>
                <w:sz w:val="18"/>
                <w:szCs w:val="18"/>
                <w:lang w:eastAsia="zh-CN"/>
              </w:rPr>
              <w:t>；</w:t>
            </w:r>
            <w:r>
              <w:rPr>
                <w:rFonts w:hint="eastAsia" w:ascii="宋体" w:hAnsi="宋体" w:eastAsia="宋体" w:cs="宋体"/>
                <w:sz w:val="18"/>
                <w:szCs w:val="18"/>
              </w:rPr>
              <w:t>2×2000m³/1900t</w:t>
            </w:r>
            <w:r>
              <w:rPr>
                <w:rFonts w:hint="eastAsia" w:ascii="宋体" w:hAnsi="宋体" w:eastAsia="宋体" w:cs="宋体"/>
                <w:sz w:val="18"/>
                <w:szCs w:val="18"/>
                <w:lang w:eastAsia="zh-CN"/>
              </w:rPr>
              <w:t>；</w:t>
            </w:r>
            <w:r>
              <w:rPr>
                <w:rFonts w:hint="eastAsia" w:ascii="宋体" w:hAnsi="宋体" w:eastAsia="宋体" w:cs="宋体"/>
                <w:sz w:val="18"/>
                <w:szCs w:val="18"/>
              </w:rPr>
              <w:t>2×1000m³/980t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201、202、203、204、205、206、207、208、209、210罐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液化气罐区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51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丙烯</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丙烯</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115-07-1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  类别1；</w:t>
            </w:r>
            <w:r>
              <w:rPr>
                <w:rFonts w:hint="eastAsia" w:ascii="宋体" w:hAnsi="宋体" w:eastAsia="宋体" w:cs="宋体"/>
                <w:sz w:val="18"/>
                <w:szCs w:val="18"/>
              </w:rPr>
              <w:br w:type="textWrapping"/>
            </w:r>
            <w:r>
              <w:rPr>
                <w:rFonts w:hint="eastAsia" w:ascii="宋体" w:hAnsi="宋体" w:eastAsia="宋体" w:cs="宋体"/>
                <w:sz w:val="18"/>
                <w:szCs w:val="18"/>
              </w:rPr>
              <w:t>加压气体  液化气体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4具×2000m³/3542t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213、214、215、216罐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丙烷丙烯罐区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51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丙烷</w:t>
            </w:r>
            <w:r>
              <w:rPr>
                <w:rFonts w:hint="eastAsia" w:ascii="宋体" w:hAnsi="宋体" w:eastAsia="宋体" w:cs="宋体"/>
                <w:sz w:val="18"/>
                <w:szCs w:val="18"/>
              </w:rPr>
              <w:br w:type="textWrapping"/>
            </w:r>
            <w:r>
              <w:rPr>
                <w:rFonts w:hint="eastAsia" w:ascii="宋体" w:hAnsi="宋体" w:eastAsia="宋体" w:cs="宋体"/>
                <w:sz w:val="18"/>
                <w:szCs w:val="18"/>
              </w:rPr>
              <w:t>其他烃类</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74-98-6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  类别1；</w:t>
            </w:r>
            <w:r>
              <w:rPr>
                <w:rFonts w:hint="eastAsia" w:ascii="宋体" w:hAnsi="宋体" w:eastAsia="宋体" w:cs="宋体"/>
                <w:sz w:val="18"/>
                <w:szCs w:val="18"/>
              </w:rPr>
              <w:br w:type="textWrapping"/>
            </w:r>
            <w:r>
              <w:rPr>
                <w:rFonts w:hint="eastAsia" w:ascii="宋体" w:hAnsi="宋体" w:eastAsia="宋体" w:cs="宋体"/>
                <w:sz w:val="18"/>
                <w:szCs w:val="18"/>
              </w:rPr>
              <w:t>加压气体-液化气体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生产</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2具×2000m³/1724t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211、212罐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丙烷丙烯罐区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rPr>
          <w:trHeight w:val="94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干气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w:t>
            </w:r>
            <w:r>
              <w:rPr>
                <w:rFonts w:hint="eastAsia" w:ascii="宋体" w:hAnsi="宋体" w:eastAsia="宋体" w:cs="宋体"/>
                <w:sz w:val="18"/>
                <w:szCs w:val="18"/>
                <w:vertAlign w:val="subscript"/>
              </w:rPr>
              <w:t>2</w:t>
            </w:r>
            <w:r>
              <w:rPr>
                <w:rFonts w:hint="eastAsia" w:ascii="宋体" w:hAnsi="宋体" w:eastAsia="宋体" w:cs="宋体"/>
                <w:sz w:val="18"/>
                <w:szCs w:val="18"/>
              </w:rPr>
              <w:br w:type="textWrapping"/>
            </w:r>
            <w:r>
              <w:rPr>
                <w:rFonts w:hint="eastAsia" w:ascii="宋体" w:hAnsi="宋体" w:eastAsia="宋体" w:cs="宋体"/>
                <w:sz w:val="18"/>
                <w:szCs w:val="18"/>
              </w:rPr>
              <w:t>C1—C3</w:t>
            </w:r>
            <w:r>
              <w:rPr>
                <w:rFonts w:hint="eastAsia" w:ascii="宋体" w:hAnsi="宋体" w:eastAsia="宋体" w:cs="宋体"/>
                <w:sz w:val="18"/>
                <w:szCs w:val="18"/>
              </w:rPr>
              <w:br w:type="textWrapping"/>
            </w:r>
            <w:r>
              <w:rPr>
                <w:rFonts w:hint="eastAsia" w:ascii="宋体" w:hAnsi="宋体" w:eastAsia="宋体" w:cs="宋体"/>
                <w:sz w:val="18"/>
                <w:szCs w:val="18"/>
              </w:rPr>
              <w:t>N</w:t>
            </w:r>
            <w:r>
              <w:rPr>
                <w:rFonts w:hint="eastAsia" w:ascii="宋体" w:hAnsi="宋体" w:eastAsia="宋体" w:cs="宋体"/>
                <w:sz w:val="18"/>
                <w:szCs w:val="18"/>
                <w:vertAlign w:val="subscript"/>
              </w:rPr>
              <w:t>2</w:t>
            </w:r>
            <w:r>
              <w:rPr>
                <w:rFonts w:hint="eastAsia" w:ascii="宋体" w:hAnsi="宋体" w:eastAsia="宋体" w:cs="宋体"/>
                <w:sz w:val="18"/>
                <w:szCs w:val="18"/>
              </w:rPr>
              <w:br w:type="textWrapping"/>
            </w:r>
            <w:r>
              <w:rPr>
                <w:rFonts w:hint="eastAsia" w:ascii="宋体" w:hAnsi="宋体" w:eastAsia="宋体" w:cs="宋体"/>
                <w:sz w:val="18"/>
                <w:szCs w:val="18"/>
              </w:rPr>
              <w:t>其他</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133-74-07727-37-9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 xml:space="preserve">易燃气体  类别1； </w:t>
            </w:r>
            <w:r>
              <w:rPr>
                <w:rFonts w:hint="eastAsia" w:ascii="宋体" w:hAnsi="宋体" w:eastAsia="宋体" w:cs="宋体"/>
                <w:sz w:val="18"/>
                <w:szCs w:val="18"/>
              </w:rPr>
              <w:br w:type="textWrapping"/>
            </w:r>
            <w:r>
              <w:rPr>
                <w:rFonts w:hint="eastAsia" w:ascii="宋体" w:hAnsi="宋体" w:eastAsia="宋体" w:cs="宋体"/>
                <w:sz w:val="18"/>
                <w:szCs w:val="18"/>
              </w:rPr>
              <w:t>加压气体  压缩气体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6具×3000m³/5700t；2具×2000m³/1900t；2具×1000m³/980t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201、202、203、204、205、206、207、208、209、210罐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液化气罐区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瓦斯</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甲烷</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74-82-8</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"易燃气体,类别1</w:t>
            </w:r>
            <w:r>
              <w:rPr>
                <w:rFonts w:hint="eastAsia" w:ascii="宋体" w:hAnsi="宋体" w:eastAsia="宋体" w:cs="宋体"/>
                <w:sz w:val="18"/>
                <w:szCs w:val="18"/>
              </w:rPr>
              <w:br w:type="textWrapping"/>
            </w:r>
            <w:r>
              <w:rPr>
                <w:rFonts w:hint="eastAsia" w:ascii="宋体" w:hAnsi="宋体" w:eastAsia="宋体" w:cs="宋体"/>
                <w:sz w:val="18"/>
                <w:szCs w:val="18"/>
              </w:rPr>
              <w:t>加压气体"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1具×20000m³/17000t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气柜</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可燃气回收设施</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9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甲基叔丁基醚</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甲基叔丁基醚</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1634-04-4</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类别2；</w:t>
            </w:r>
            <w:r>
              <w:rPr>
                <w:rFonts w:hint="eastAsia" w:ascii="宋体" w:hAnsi="宋体" w:eastAsia="宋体" w:cs="宋体"/>
                <w:sz w:val="18"/>
                <w:szCs w:val="18"/>
              </w:rPr>
              <w:br w:type="textWrapping"/>
            </w:r>
            <w:r>
              <w:rPr>
                <w:rFonts w:hint="eastAsia" w:ascii="宋体" w:hAnsi="宋体" w:eastAsia="宋体" w:cs="宋体"/>
                <w:sz w:val="18"/>
                <w:szCs w:val="18"/>
              </w:rPr>
              <w:t>急性毒性—经口 类别5</w:t>
            </w:r>
            <w:r>
              <w:rPr>
                <w:rFonts w:hint="eastAsia" w:ascii="宋体" w:hAnsi="宋体" w:eastAsia="宋体" w:cs="宋体"/>
                <w:sz w:val="18"/>
                <w:szCs w:val="18"/>
              </w:rPr>
              <w:br w:type="textWrapping"/>
            </w:r>
            <w:r>
              <w:rPr>
                <w:rFonts w:hint="eastAsia" w:ascii="宋体" w:hAnsi="宋体" w:eastAsia="宋体" w:cs="宋体"/>
                <w:sz w:val="18"/>
                <w:szCs w:val="18"/>
              </w:rPr>
              <w:t>急性毒性—经皮 类别5</w:t>
            </w:r>
            <w:r>
              <w:rPr>
                <w:rFonts w:hint="eastAsia" w:ascii="宋体" w:hAnsi="宋体" w:eastAsia="宋体" w:cs="宋体"/>
                <w:sz w:val="18"/>
                <w:szCs w:val="18"/>
              </w:rPr>
              <w:br w:type="textWrapping"/>
            </w:r>
            <w:r>
              <w:rPr>
                <w:rFonts w:hint="eastAsia" w:ascii="宋体" w:hAnsi="宋体" w:eastAsia="宋体" w:cs="宋体"/>
                <w:sz w:val="18"/>
                <w:szCs w:val="18"/>
              </w:rPr>
              <w:t>皮肤腐蚀/刺激  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5×500m³具/650t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608、609罐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汽油组分一罐区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94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汽油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4</w:t>
            </w:r>
            <w:r>
              <w:rPr>
                <w:rFonts w:hint="eastAsia" w:ascii="宋体" w:hAnsi="宋体" w:eastAsia="宋体" w:cs="宋体"/>
                <w:sz w:val="18"/>
                <w:szCs w:val="18"/>
              </w:rPr>
              <w:t>～C</w:t>
            </w:r>
            <w:r>
              <w:rPr>
                <w:rFonts w:hint="eastAsia" w:ascii="宋体" w:hAnsi="宋体" w:eastAsia="宋体" w:cs="宋体"/>
                <w:sz w:val="18"/>
                <w:szCs w:val="18"/>
                <w:vertAlign w:val="subscript"/>
              </w:rPr>
              <w:t>12</w:t>
            </w:r>
            <w:r>
              <w:rPr>
                <w:rFonts w:hint="eastAsia" w:ascii="宋体" w:hAnsi="宋体" w:eastAsia="宋体" w:cs="宋体"/>
                <w:sz w:val="18"/>
                <w:szCs w:val="18"/>
              </w:rPr>
              <w:t>的烃类</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86290-81-5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w:t>
            </w:r>
            <w:r>
              <w:rPr>
                <w:rFonts w:hint="eastAsia" w:ascii="宋体" w:hAnsi="宋体" w:eastAsia="宋体" w:cs="宋体"/>
                <w:sz w:val="18"/>
                <w:szCs w:val="18"/>
              </w:rPr>
              <w:br w:type="textWrapping"/>
            </w:r>
            <w:r>
              <w:rPr>
                <w:rFonts w:hint="eastAsia" w:ascii="宋体" w:hAnsi="宋体" w:eastAsia="宋体" w:cs="宋体"/>
                <w:sz w:val="18"/>
                <w:szCs w:val="18"/>
              </w:rPr>
              <w:t>生殖细胞致突变性,类别1B</w:t>
            </w:r>
            <w:r>
              <w:rPr>
                <w:rFonts w:hint="eastAsia" w:ascii="宋体" w:hAnsi="宋体" w:eastAsia="宋体" w:cs="宋体"/>
                <w:sz w:val="18"/>
                <w:szCs w:val="18"/>
              </w:rPr>
              <w:br w:type="textWrapping"/>
            </w:r>
            <w:r>
              <w:rPr>
                <w:rFonts w:hint="eastAsia" w:ascii="宋体" w:hAnsi="宋体" w:eastAsia="宋体" w:cs="宋体"/>
                <w:sz w:val="18"/>
                <w:szCs w:val="18"/>
              </w:rPr>
              <w:t>致癌性,类别2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原料、中间产品、生产成品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3000m³×2/4080t;2000m³×5/6800t；5000m³×6/21420t；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601、602、603、604、605、612、614、613、505、506、507、511、512罐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汽油组分一罐区、汽油组分二罐区、汽油组分三罐区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118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石脑油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4</w:t>
            </w:r>
            <w:r>
              <w:rPr>
                <w:rFonts w:hint="eastAsia" w:ascii="宋体" w:hAnsi="宋体" w:eastAsia="宋体" w:cs="宋体"/>
                <w:sz w:val="18"/>
                <w:szCs w:val="18"/>
              </w:rPr>
              <w:t>-C</w:t>
            </w:r>
            <w:r>
              <w:rPr>
                <w:rFonts w:hint="eastAsia" w:ascii="宋体" w:hAnsi="宋体" w:eastAsia="宋体" w:cs="宋体"/>
                <w:sz w:val="18"/>
                <w:szCs w:val="18"/>
                <w:vertAlign w:val="subscript"/>
              </w:rPr>
              <w:t>12</w:t>
            </w:r>
            <w:r>
              <w:rPr>
                <w:rFonts w:hint="eastAsia" w:ascii="宋体" w:hAnsi="宋体" w:eastAsia="宋体" w:cs="宋体"/>
                <w:sz w:val="18"/>
                <w:szCs w:val="18"/>
              </w:rPr>
              <w:t>烃类混合物</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8030-30-6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类别2；</w:t>
            </w:r>
            <w:r>
              <w:rPr>
                <w:rFonts w:hint="eastAsia" w:ascii="宋体" w:hAnsi="宋体" w:eastAsia="宋体" w:cs="宋体"/>
                <w:sz w:val="18"/>
                <w:szCs w:val="18"/>
              </w:rPr>
              <w:br w:type="page"/>
            </w:r>
            <w:r>
              <w:rPr>
                <w:rFonts w:hint="eastAsia" w:ascii="宋体" w:hAnsi="宋体" w:eastAsia="宋体" w:cs="宋体"/>
                <w:sz w:val="18"/>
                <w:szCs w:val="18"/>
              </w:rPr>
              <w:t>生殖细胞致突变性  类别1B；</w:t>
            </w:r>
            <w:r>
              <w:rPr>
                <w:rFonts w:hint="eastAsia" w:ascii="宋体" w:hAnsi="宋体" w:eastAsia="宋体" w:cs="宋体"/>
                <w:sz w:val="18"/>
                <w:szCs w:val="18"/>
              </w:rPr>
              <w:br w:type="page"/>
            </w:r>
            <w:r>
              <w:rPr>
                <w:rFonts w:hint="eastAsia" w:ascii="宋体" w:hAnsi="宋体" w:eastAsia="宋体" w:cs="宋体"/>
                <w:sz w:val="18"/>
                <w:szCs w:val="18"/>
              </w:rPr>
              <w:t>吸入危害  类别1；</w:t>
            </w:r>
            <w:r>
              <w:rPr>
                <w:rFonts w:hint="eastAsia" w:ascii="宋体" w:hAnsi="宋体" w:eastAsia="宋体" w:cs="宋体"/>
                <w:sz w:val="18"/>
                <w:szCs w:val="18"/>
              </w:rPr>
              <w:br w:type="page"/>
            </w:r>
            <w:r>
              <w:rPr>
                <w:rFonts w:hint="eastAsia" w:ascii="宋体" w:hAnsi="宋体" w:eastAsia="宋体" w:cs="宋体"/>
                <w:sz w:val="18"/>
                <w:szCs w:val="18"/>
              </w:rPr>
              <w:t>危害水生环境-急性危害,类别2；</w:t>
            </w:r>
            <w:r>
              <w:rPr>
                <w:rFonts w:hint="eastAsia" w:ascii="宋体" w:hAnsi="宋体" w:eastAsia="宋体" w:cs="宋体"/>
                <w:sz w:val="18"/>
                <w:szCs w:val="18"/>
              </w:rPr>
              <w:br w:type="page"/>
            </w:r>
            <w:r>
              <w:rPr>
                <w:rFonts w:hint="eastAsia" w:ascii="宋体" w:hAnsi="宋体" w:eastAsia="宋体" w:cs="宋体"/>
                <w:sz w:val="18"/>
                <w:szCs w:val="18"/>
              </w:rPr>
              <w:t>危害水生环境-长期危害,类别2。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3000m³×2/2451t；5000m³×4/12257t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503、504、615、508、508、510罐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重整柴油加氢原料罐区、汽油组分二罐区、汽油组分三罐区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48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燃料油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燃料油</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类别3</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原料、中间产品、生产成品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10000m³×2/17000t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305、306罐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重油罐区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9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92号</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汽油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4</w:t>
            </w:r>
            <w:r>
              <w:rPr>
                <w:rFonts w:hint="eastAsia" w:ascii="宋体" w:hAnsi="宋体" w:eastAsia="宋体" w:cs="宋体"/>
                <w:sz w:val="18"/>
                <w:szCs w:val="18"/>
              </w:rPr>
              <w:t>~C</w:t>
            </w:r>
            <w:r>
              <w:rPr>
                <w:rFonts w:hint="eastAsia" w:ascii="宋体" w:hAnsi="宋体" w:eastAsia="宋体" w:cs="宋体"/>
                <w:sz w:val="18"/>
                <w:szCs w:val="18"/>
                <w:vertAlign w:val="subscript"/>
              </w:rPr>
              <w:t>11</w:t>
            </w:r>
            <w:r>
              <w:rPr>
                <w:rFonts w:hint="eastAsia" w:ascii="宋体" w:hAnsi="宋体" w:eastAsia="宋体" w:cs="宋体"/>
                <w:sz w:val="18"/>
                <w:szCs w:val="18"/>
              </w:rPr>
              <w:t>石油烃类混合物</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8006-61-9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类别2；</w:t>
            </w:r>
            <w:r>
              <w:rPr>
                <w:rFonts w:hint="eastAsia" w:ascii="宋体" w:hAnsi="宋体" w:eastAsia="宋体" w:cs="宋体"/>
                <w:sz w:val="18"/>
                <w:szCs w:val="18"/>
              </w:rPr>
              <w:br w:type="textWrapping"/>
            </w:r>
            <w:r>
              <w:rPr>
                <w:rFonts w:hint="eastAsia" w:ascii="宋体" w:hAnsi="宋体" w:eastAsia="宋体" w:cs="宋体"/>
                <w:sz w:val="18"/>
                <w:szCs w:val="18"/>
              </w:rPr>
              <w:t>生殖细胞致突变性  类别1B；</w:t>
            </w:r>
            <w:r>
              <w:rPr>
                <w:rFonts w:hint="eastAsia" w:ascii="宋体" w:hAnsi="宋体" w:eastAsia="宋体" w:cs="宋体"/>
                <w:sz w:val="18"/>
                <w:szCs w:val="18"/>
              </w:rPr>
              <w:br w:type="textWrapping"/>
            </w:r>
            <w:r>
              <w:rPr>
                <w:rFonts w:hint="eastAsia" w:ascii="宋体" w:hAnsi="宋体" w:eastAsia="宋体" w:cs="宋体"/>
                <w:sz w:val="18"/>
                <w:szCs w:val="18"/>
              </w:rPr>
              <w:t>致癌性  类别2B；</w:t>
            </w:r>
            <w:r>
              <w:rPr>
                <w:rFonts w:hint="eastAsia" w:ascii="宋体" w:hAnsi="宋体" w:eastAsia="宋体" w:cs="宋体"/>
                <w:sz w:val="18"/>
                <w:szCs w:val="18"/>
              </w:rPr>
              <w:br w:type="textWrapping"/>
            </w:r>
            <w:r>
              <w:rPr>
                <w:rFonts w:hint="eastAsia" w:ascii="宋体" w:hAnsi="宋体" w:eastAsia="宋体" w:cs="宋体"/>
                <w:sz w:val="18"/>
                <w:szCs w:val="18"/>
              </w:rPr>
              <w:t>吸入危害  类别1；        危害水生环境-急性危害  类别2；</w:t>
            </w:r>
            <w:r>
              <w:rPr>
                <w:rFonts w:hint="eastAsia" w:ascii="宋体" w:hAnsi="宋体" w:eastAsia="宋体" w:cs="宋体"/>
                <w:sz w:val="18"/>
                <w:szCs w:val="18"/>
              </w:rPr>
              <w:br w:type="textWrapping"/>
            </w:r>
            <w:r>
              <w:rPr>
                <w:rFonts w:hint="eastAsia" w:ascii="宋体" w:hAnsi="宋体" w:eastAsia="宋体" w:cs="宋体"/>
                <w:sz w:val="18"/>
                <w:szCs w:val="18"/>
              </w:rPr>
              <w:t>危害水生环境-长期危害  类别2。</w:t>
            </w:r>
            <w:r>
              <w:rPr>
                <w:rFonts w:hint="eastAsia" w:ascii="宋体" w:hAnsi="宋体" w:eastAsia="宋体" w:cs="宋体"/>
                <w:sz w:val="18"/>
                <w:szCs w:val="18"/>
              </w:rPr>
              <w:br w:type="textWrapping"/>
            </w:r>
            <w:r>
              <w:rPr>
                <w:rFonts w:hint="eastAsia" w:ascii="宋体" w:hAnsi="宋体" w:eastAsia="宋体" w:cs="宋体"/>
                <w:sz w:val="18"/>
                <w:szCs w:val="18"/>
              </w:rPr>
              <w:t>危害水生环境-急性危害  类别2；</w:t>
            </w:r>
            <w:r>
              <w:rPr>
                <w:rFonts w:hint="eastAsia" w:ascii="宋体" w:hAnsi="宋体" w:eastAsia="宋体" w:cs="宋体"/>
                <w:sz w:val="18"/>
                <w:szCs w:val="18"/>
              </w:rPr>
              <w:br w:type="textWrapping"/>
            </w:r>
            <w:r>
              <w:rPr>
                <w:rFonts w:hint="eastAsia" w:ascii="宋体" w:hAnsi="宋体" w:eastAsia="宋体" w:cs="宋体"/>
                <w:sz w:val="18"/>
                <w:szCs w:val="18"/>
              </w:rPr>
              <w:t>危害水生环境-长期危害  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生产</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10000m³×5/31280t、9000m³×1/5645t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803、804、805、806、807、808、809罐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成品汽油罐区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22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95号</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汽油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4</w:t>
            </w:r>
            <w:r>
              <w:rPr>
                <w:rFonts w:hint="eastAsia" w:ascii="宋体" w:hAnsi="宋体" w:eastAsia="宋体" w:cs="宋体"/>
                <w:sz w:val="18"/>
                <w:szCs w:val="18"/>
              </w:rPr>
              <w:t>~C</w:t>
            </w:r>
            <w:r>
              <w:rPr>
                <w:rFonts w:hint="eastAsia" w:ascii="宋体" w:hAnsi="宋体" w:eastAsia="宋体" w:cs="宋体"/>
                <w:sz w:val="18"/>
                <w:szCs w:val="18"/>
                <w:vertAlign w:val="subscript"/>
              </w:rPr>
              <w:t>11</w:t>
            </w:r>
            <w:r>
              <w:rPr>
                <w:rFonts w:hint="eastAsia" w:ascii="宋体" w:hAnsi="宋体" w:eastAsia="宋体" w:cs="宋体"/>
                <w:sz w:val="18"/>
                <w:szCs w:val="18"/>
              </w:rPr>
              <w:t>石油烃类混合物</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8006-61-9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类别2；</w:t>
            </w:r>
            <w:r>
              <w:rPr>
                <w:rFonts w:hint="eastAsia" w:ascii="宋体" w:hAnsi="宋体" w:eastAsia="宋体" w:cs="宋体"/>
                <w:sz w:val="18"/>
                <w:szCs w:val="18"/>
              </w:rPr>
              <w:br w:type="textWrapping"/>
            </w:r>
            <w:r>
              <w:rPr>
                <w:rFonts w:hint="eastAsia" w:ascii="宋体" w:hAnsi="宋体" w:eastAsia="宋体" w:cs="宋体"/>
                <w:sz w:val="18"/>
                <w:szCs w:val="18"/>
              </w:rPr>
              <w:t>生殖细胞致突变性  类别1B；</w:t>
            </w:r>
            <w:r>
              <w:rPr>
                <w:rFonts w:hint="eastAsia" w:ascii="宋体" w:hAnsi="宋体" w:eastAsia="宋体" w:cs="宋体"/>
                <w:sz w:val="18"/>
                <w:szCs w:val="18"/>
              </w:rPr>
              <w:br w:type="textWrapping"/>
            </w:r>
            <w:r>
              <w:rPr>
                <w:rFonts w:hint="eastAsia" w:ascii="宋体" w:hAnsi="宋体" w:eastAsia="宋体" w:cs="宋体"/>
                <w:sz w:val="18"/>
                <w:szCs w:val="18"/>
              </w:rPr>
              <w:t>致癌性  类别2B；</w:t>
            </w:r>
            <w:r>
              <w:rPr>
                <w:rFonts w:hint="eastAsia" w:ascii="宋体" w:hAnsi="宋体" w:eastAsia="宋体" w:cs="宋体"/>
                <w:sz w:val="18"/>
                <w:szCs w:val="18"/>
              </w:rPr>
              <w:br w:type="textWrapping"/>
            </w:r>
            <w:r>
              <w:rPr>
                <w:rFonts w:hint="eastAsia" w:ascii="宋体" w:hAnsi="宋体" w:eastAsia="宋体" w:cs="宋体"/>
                <w:sz w:val="18"/>
                <w:szCs w:val="18"/>
              </w:rPr>
              <w:t>吸入危害  类别1；</w:t>
            </w:r>
            <w:r>
              <w:rPr>
                <w:rFonts w:hint="eastAsia" w:ascii="宋体" w:hAnsi="宋体" w:eastAsia="宋体" w:cs="宋体"/>
                <w:sz w:val="18"/>
                <w:szCs w:val="18"/>
              </w:rPr>
              <w:br w:type="textWrapping"/>
            </w:r>
            <w:r>
              <w:rPr>
                <w:rFonts w:hint="eastAsia" w:ascii="宋体" w:hAnsi="宋体" w:eastAsia="宋体" w:cs="宋体"/>
                <w:sz w:val="18"/>
                <w:szCs w:val="18"/>
              </w:rPr>
              <w:t>危害水生环境-急性危害  类别2；</w:t>
            </w:r>
            <w:r>
              <w:rPr>
                <w:rFonts w:hint="eastAsia" w:ascii="宋体" w:hAnsi="宋体" w:eastAsia="宋体" w:cs="宋体"/>
                <w:sz w:val="18"/>
                <w:szCs w:val="18"/>
              </w:rPr>
              <w:br w:type="textWrapping"/>
            </w:r>
            <w:r>
              <w:rPr>
                <w:rFonts w:hint="eastAsia" w:ascii="宋体" w:hAnsi="宋体" w:eastAsia="宋体" w:cs="宋体"/>
                <w:sz w:val="18"/>
                <w:szCs w:val="18"/>
              </w:rPr>
              <w:t>危害水生环境-长期危害  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生产</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9000m³×3/17171t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810、811、812罐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成品汽油罐区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809"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航空</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煤油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煤油</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8008-20-6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类别3</w:t>
            </w:r>
            <w:r>
              <w:rPr>
                <w:rFonts w:hint="eastAsia" w:ascii="宋体" w:hAnsi="宋体" w:eastAsia="宋体" w:cs="宋体"/>
                <w:sz w:val="18"/>
                <w:szCs w:val="18"/>
              </w:rPr>
              <w:br w:type="textWrapping"/>
            </w:r>
            <w:r>
              <w:rPr>
                <w:rFonts w:hint="eastAsia" w:ascii="宋体" w:hAnsi="宋体" w:eastAsia="宋体" w:cs="宋体"/>
                <w:sz w:val="18"/>
                <w:szCs w:val="18"/>
              </w:rPr>
              <w:t>吸入危害     类别1</w:t>
            </w:r>
            <w:r>
              <w:rPr>
                <w:rFonts w:hint="eastAsia" w:ascii="宋体" w:hAnsi="宋体" w:eastAsia="宋体" w:cs="宋体"/>
                <w:sz w:val="18"/>
                <w:szCs w:val="18"/>
              </w:rPr>
              <w:br w:type="textWrapping"/>
            </w:r>
            <w:r>
              <w:rPr>
                <w:rFonts w:hint="eastAsia" w:ascii="宋体" w:hAnsi="宋体" w:eastAsia="宋体" w:cs="宋体"/>
                <w:sz w:val="18"/>
                <w:szCs w:val="18"/>
              </w:rPr>
              <w:t>急性毒性—吸入 类别5</w:t>
            </w:r>
            <w:r>
              <w:rPr>
                <w:rFonts w:hint="eastAsia" w:ascii="宋体" w:hAnsi="宋体" w:eastAsia="宋体" w:cs="宋体"/>
                <w:sz w:val="18"/>
                <w:szCs w:val="18"/>
              </w:rPr>
              <w:br w:type="textWrapping"/>
            </w:r>
            <w:r>
              <w:rPr>
                <w:rFonts w:hint="eastAsia" w:ascii="宋体" w:hAnsi="宋体" w:eastAsia="宋体" w:cs="宋体"/>
                <w:sz w:val="18"/>
                <w:szCs w:val="18"/>
              </w:rPr>
              <w:t>急性毒性—经皮 类别5</w:t>
            </w:r>
            <w:r>
              <w:rPr>
                <w:rFonts w:hint="eastAsia" w:ascii="宋体" w:hAnsi="宋体" w:eastAsia="宋体" w:cs="宋体"/>
                <w:sz w:val="18"/>
                <w:szCs w:val="18"/>
              </w:rPr>
              <w:br w:type="textWrapping"/>
            </w:r>
            <w:r>
              <w:rPr>
                <w:rFonts w:hint="eastAsia" w:ascii="宋体" w:hAnsi="宋体" w:eastAsia="宋体" w:cs="宋体"/>
                <w:sz w:val="18"/>
                <w:szCs w:val="18"/>
              </w:rPr>
              <w:t>危害水生环境-急性危害  类别2</w:t>
            </w:r>
            <w:r>
              <w:rPr>
                <w:rFonts w:hint="eastAsia" w:ascii="宋体" w:hAnsi="宋体" w:eastAsia="宋体" w:cs="宋体"/>
                <w:sz w:val="18"/>
                <w:szCs w:val="18"/>
              </w:rPr>
              <w:br w:type="textWrapping"/>
            </w:r>
            <w:r>
              <w:rPr>
                <w:rFonts w:hint="eastAsia" w:ascii="宋体" w:hAnsi="宋体" w:eastAsia="宋体" w:cs="宋体"/>
                <w:sz w:val="18"/>
                <w:szCs w:val="18"/>
              </w:rPr>
              <w:t>危害水生环境-长期危害  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原料、中间产品、生产成品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1000m³×1/665t；3000m³×3/6100t；10000m³×2/13362t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403、404、701、702、801、802罐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重整加氢罐区、柴油组分罐区、成品汽油罐区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85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柴油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柴油</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68334-30-5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类别4</w:t>
            </w:r>
            <w:r>
              <w:rPr>
                <w:rFonts w:hint="eastAsia" w:ascii="宋体" w:hAnsi="宋体" w:eastAsia="宋体" w:cs="宋体"/>
                <w:sz w:val="18"/>
                <w:szCs w:val="18"/>
              </w:rPr>
              <w:br w:type="page"/>
            </w:r>
            <w:r>
              <w:rPr>
                <w:rFonts w:hint="eastAsia" w:ascii="宋体" w:hAnsi="宋体" w:eastAsia="宋体" w:cs="宋体"/>
                <w:sz w:val="18"/>
                <w:szCs w:val="18"/>
              </w:rPr>
              <w:t>吸入危害     类别1</w:t>
            </w:r>
            <w:r>
              <w:rPr>
                <w:rFonts w:hint="eastAsia" w:ascii="宋体" w:hAnsi="宋体" w:eastAsia="宋体" w:cs="宋体"/>
                <w:sz w:val="18"/>
                <w:szCs w:val="18"/>
              </w:rPr>
              <w:br w:type="page"/>
            </w:r>
            <w:r>
              <w:rPr>
                <w:rFonts w:hint="eastAsia" w:ascii="宋体" w:hAnsi="宋体" w:eastAsia="宋体" w:cs="宋体"/>
                <w:sz w:val="18"/>
                <w:szCs w:val="18"/>
              </w:rPr>
              <w:t>皮肤腐蚀/刺激    类别2</w:t>
            </w:r>
            <w:r>
              <w:rPr>
                <w:rFonts w:hint="eastAsia" w:ascii="宋体" w:hAnsi="宋体" w:eastAsia="宋体" w:cs="宋体"/>
                <w:sz w:val="18"/>
                <w:szCs w:val="18"/>
              </w:rPr>
              <w:br w:type="page"/>
            </w:r>
            <w:r>
              <w:rPr>
                <w:rFonts w:hint="eastAsia" w:ascii="宋体" w:hAnsi="宋体" w:eastAsia="宋体" w:cs="宋体"/>
                <w:sz w:val="18"/>
                <w:szCs w:val="18"/>
              </w:rPr>
              <w:t>严重眼睛损伤/眼睛刺激性  2B</w:t>
            </w:r>
            <w:r>
              <w:rPr>
                <w:rFonts w:hint="eastAsia" w:ascii="宋体" w:hAnsi="宋体" w:eastAsia="宋体" w:cs="宋体"/>
                <w:sz w:val="18"/>
                <w:szCs w:val="18"/>
              </w:rPr>
              <w:br w:type="page"/>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原料、中间产品、生产成品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20000m³×8/112880t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401、402、405、406、407、701、702、703、704、705、706、901、902、903、904、905、906、907、908罐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重整加氢罐区、直馏柴油罐区、柴油组分罐区、成品柴油罐区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1461"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原油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原油</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8002-5-9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原料</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30000m³×2/43700t</w:t>
            </w:r>
            <w:r>
              <w:rPr>
                <w:rFonts w:hint="eastAsia" w:ascii="宋体" w:hAnsi="宋体" w:eastAsia="宋体" w:cs="宋体"/>
                <w:sz w:val="18"/>
                <w:szCs w:val="18"/>
                <w:lang w:eastAsia="zh-CN"/>
              </w:rPr>
              <w:t>；</w:t>
            </w:r>
            <w:r>
              <w:rPr>
                <w:rFonts w:hint="eastAsia" w:ascii="宋体" w:hAnsi="宋体" w:eastAsia="宋体" w:cs="宋体"/>
                <w:sz w:val="18"/>
                <w:szCs w:val="18"/>
              </w:rPr>
              <w:t>100000m³×4/28713</w:t>
            </w:r>
            <w:r>
              <w:rPr>
                <w:rFonts w:hint="eastAsia" w:ascii="宋体" w:hAnsi="宋体" w:eastAsia="宋体" w:cs="宋体"/>
                <w:sz w:val="18"/>
                <w:szCs w:val="18"/>
                <w:lang w:val="en-US" w:eastAsia="zh-CN"/>
              </w:rPr>
              <w:t>0</w:t>
            </w:r>
            <w:r>
              <w:rPr>
                <w:rFonts w:hint="eastAsia" w:ascii="宋体" w:hAnsi="宋体" w:eastAsia="宋体" w:cs="宋体"/>
                <w:sz w:val="18"/>
                <w:szCs w:val="18"/>
              </w:rPr>
              <w:t>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101、102、103、104、106、106罐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三万立原油罐区、十万立原油罐区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9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油品部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柴油降凝剂</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降凝剂</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采购、中间产品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73m³/50t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降凝剂罐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中间罐区柴油加剂设施</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储罐</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氨</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NH</w:t>
            </w:r>
            <w:r>
              <w:rPr>
                <w:rFonts w:hint="eastAsia" w:ascii="宋体" w:hAnsi="宋体" w:eastAsia="宋体" w:cs="宋体"/>
                <w:sz w:val="18"/>
                <w:szCs w:val="18"/>
                <w:vertAlign w:val="subscript"/>
              </w:rPr>
              <w:t>3</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7664-41-7</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第2.3类易燃气体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1.12吨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脱硫脱硝</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氨罐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2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原油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8002-05-9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529.08吨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常压装置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2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石脑油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8030-30-6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95.16吨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常压装置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2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煤油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8008-20-6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52.44吨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常压装置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9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氢气和甲烷混合物［压缩的］</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氢气、甲烷混合物</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极端易燃气体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14.28吨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常压装置、催化裂化装置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1374"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液化气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3</w:t>
            </w:r>
            <w:r>
              <w:rPr>
                <w:rFonts w:hint="eastAsia" w:ascii="宋体" w:hAnsi="宋体" w:eastAsia="宋体" w:cs="宋体"/>
                <w:sz w:val="18"/>
                <w:szCs w:val="18"/>
              </w:rPr>
              <w:t>+C</w:t>
            </w:r>
            <w:r>
              <w:rPr>
                <w:rFonts w:hint="eastAsia" w:ascii="宋体" w:hAnsi="宋体" w:eastAsia="宋体" w:cs="宋体"/>
                <w:sz w:val="18"/>
                <w:szCs w:val="18"/>
                <w:vertAlign w:val="subscript"/>
              </w:rPr>
              <w:t>4</w:t>
            </w:r>
            <w:r>
              <w:rPr>
                <w:rFonts w:hint="eastAsia" w:ascii="宋体" w:hAnsi="宋体" w:eastAsia="宋体" w:cs="宋体"/>
                <w:sz w:val="18"/>
                <w:szCs w:val="18"/>
              </w:rPr>
              <w:t>烃类组分（丙烯、异丁烷、丙烷、正丁烷及丁烯类）</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74-98-6/106-98-9/72-28-5/115-07-1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    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333吨、63.4吨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气分装置、MTBE装置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汽油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86290-81-5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942吨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常压装置、催化裂化装置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2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丙烯</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丙烯</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115-07-1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  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188吨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气分装置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6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丙烷（＞70%）</w:t>
            </w:r>
            <w:r>
              <w:rPr>
                <w:rFonts w:hint="eastAsia" w:ascii="宋体" w:hAnsi="宋体" w:eastAsia="宋体" w:cs="宋体"/>
                <w:sz w:val="18"/>
                <w:szCs w:val="18"/>
              </w:rPr>
              <w:br w:type="textWrapping"/>
            </w:r>
            <w:r>
              <w:rPr>
                <w:rFonts w:hint="eastAsia" w:ascii="宋体" w:hAnsi="宋体" w:eastAsia="宋体" w:cs="宋体"/>
                <w:sz w:val="18"/>
                <w:szCs w:val="18"/>
              </w:rPr>
              <w:t>其他烃类（&lt;30%）</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74-98-6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  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133吨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气分装置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2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甲醇</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甲醇</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67-56-1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63.4吨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MTBE装置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甲基叔丁基醚</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甲基叔丁基醚</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1634-04-4</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生产</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45.1吨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MTBE装置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氮气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7727-37-9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加压气体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间歇使用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常压装置、催化裂化装置、气分装置、MTBE装置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90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油浆阻垢剂</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丁二酰亚胺衍生物</w:t>
            </w:r>
            <w:r>
              <w:rPr>
                <w:rFonts w:hint="eastAsia" w:ascii="宋体" w:hAnsi="宋体" w:eastAsia="宋体" w:cs="宋体"/>
                <w:sz w:val="18"/>
                <w:szCs w:val="18"/>
              </w:rPr>
              <w:br w:type="textWrapping"/>
            </w:r>
            <w:r>
              <w:rPr>
                <w:rFonts w:hint="eastAsia" w:ascii="宋体" w:hAnsi="宋体" w:eastAsia="宋体" w:cs="宋体"/>
                <w:sz w:val="18"/>
                <w:szCs w:val="18"/>
              </w:rPr>
              <w:t>重芳烃</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   类别3</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间歇使用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催化裂化装置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钝化剂</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三氧化二锑（有效成分）</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1309-64-4</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间歇使用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催化裂化装置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中和缓蚀剂</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碱性腐蚀性液体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间歇使用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常压装置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54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炼油一部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硫化氢</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7783-06-4</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    类别1</w:t>
            </w:r>
            <w:r>
              <w:rPr>
                <w:rFonts w:hint="eastAsia" w:ascii="宋体" w:hAnsi="宋体" w:eastAsia="宋体" w:cs="宋体"/>
                <w:sz w:val="18"/>
                <w:szCs w:val="18"/>
              </w:rPr>
              <w:br w:type="textWrapping"/>
            </w:r>
            <w:r>
              <w:rPr>
                <w:rFonts w:hint="eastAsia" w:ascii="宋体" w:hAnsi="宋体" w:eastAsia="宋体" w:cs="宋体"/>
                <w:sz w:val="18"/>
                <w:szCs w:val="18"/>
              </w:rPr>
              <w:t>急性吸入毒性 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附属物</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常压装置、催化裂化装置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13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公用工程部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次氯酸钠溶液[含有效氯</w:t>
            </w:r>
            <w:r>
              <w:rPr>
                <w:rFonts w:hint="eastAsia" w:ascii="宋体" w:hAnsi="宋体" w:eastAsia="宋体" w:cs="宋体"/>
                <w:sz w:val="18"/>
                <w:szCs w:val="18"/>
              </w:rPr>
              <w:br w:type="textWrapping"/>
            </w:r>
            <w:r>
              <w:rPr>
                <w:rFonts w:hint="eastAsia" w:ascii="宋体" w:hAnsi="宋体" w:eastAsia="宋体" w:cs="宋体"/>
                <w:sz w:val="18"/>
                <w:szCs w:val="18"/>
              </w:rPr>
              <w:t>＞5%]</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宋体" w:hAnsi="宋体" w:eastAsia="宋体" w:cs="宋体"/>
                <w:sz w:val="18"/>
                <w:szCs w:val="18"/>
                <w:lang w:val="en-US" w:eastAsia="zh-CN"/>
              </w:rPr>
            </w:pPr>
            <w:r>
              <w:rPr>
                <w:rFonts w:hint="eastAsia" w:ascii="宋体" w:hAnsi="宋体" w:eastAsia="宋体" w:cs="宋体"/>
                <w:sz w:val="18"/>
                <w:szCs w:val="18"/>
              </w:rPr>
              <w:t>Na</w:t>
            </w:r>
            <w:r>
              <w:rPr>
                <w:rFonts w:hint="eastAsia" w:ascii="宋体" w:hAnsi="宋体" w:cs="宋体"/>
                <w:sz w:val="18"/>
                <w:szCs w:val="18"/>
                <w:lang w:val="en-US" w:eastAsia="zh-CN"/>
              </w:rPr>
              <w:t>ClO</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7681-52-9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皮肤腐蚀/刺激,类别1B</w:t>
            </w:r>
            <w:r>
              <w:rPr>
                <w:rFonts w:hint="eastAsia" w:ascii="宋体" w:hAnsi="宋体" w:eastAsia="宋体" w:cs="宋体"/>
                <w:sz w:val="18"/>
                <w:szCs w:val="18"/>
              </w:rPr>
              <w:br w:type="textWrapping"/>
            </w:r>
            <w:r>
              <w:rPr>
                <w:rFonts w:hint="eastAsia" w:ascii="宋体" w:hAnsi="宋体" w:eastAsia="宋体" w:cs="宋体"/>
                <w:sz w:val="18"/>
                <w:szCs w:val="18"/>
              </w:rPr>
              <w:t>严重眼损伤/眼刺激,类别1</w:t>
            </w:r>
            <w:r>
              <w:rPr>
                <w:rFonts w:hint="eastAsia" w:ascii="宋体" w:hAnsi="宋体" w:eastAsia="宋体" w:cs="宋体"/>
                <w:sz w:val="18"/>
                <w:szCs w:val="18"/>
              </w:rPr>
              <w:br w:type="textWrapping"/>
            </w:r>
            <w:r>
              <w:rPr>
                <w:rFonts w:hint="eastAsia" w:ascii="宋体" w:hAnsi="宋体" w:eastAsia="宋体" w:cs="宋体"/>
                <w:sz w:val="18"/>
                <w:szCs w:val="18"/>
              </w:rPr>
              <w:t>危害水生环境-急性危害,类别1</w:t>
            </w:r>
            <w:r>
              <w:rPr>
                <w:rFonts w:hint="eastAsia" w:ascii="宋体" w:hAnsi="宋体" w:eastAsia="宋体" w:cs="宋体"/>
                <w:sz w:val="18"/>
                <w:szCs w:val="18"/>
              </w:rPr>
              <w:br w:type="textWrapping"/>
            </w:r>
            <w:r>
              <w:rPr>
                <w:rFonts w:hint="eastAsia" w:ascii="宋体" w:hAnsi="宋体" w:eastAsia="宋体" w:cs="宋体"/>
                <w:sz w:val="18"/>
                <w:szCs w:val="18"/>
              </w:rPr>
              <w:t>危害水生环境-长期危害,类别1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除盐水站：2吨</w:t>
            </w:r>
            <w:r>
              <w:rPr>
                <w:rFonts w:hint="eastAsia" w:ascii="宋体" w:hAnsi="宋体" w:eastAsia="宋体" w:cs="宋体"/>
                <w:sz w:val="18"/>
                <w:szCs w:val="18"/>
              </w:rPr>
              <w:br w:type="textWrapping"/>
            </w:r>
            <w:r>
              <w:rPr>
                <w:rFonts w:hint="eastAsia" w:ascii="宋体" w:hAnsi="宋体" w:eastAsia="宋体" w:cs="宋体"/>
                <w:sz w:val="18"/>
                <w:szCs w:val="18"/>
              </w:rPr>
              <w:t>污水处理场：2吨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w:t>
            </w:r>
            <w:r>
              <w:rPr>
                <w:rFonts w:hint="eastAsia" w:ascii="宋体" w:hAnsi="宋体" w:eastAsia="宋体" w:cs="宋体"/>
                <w:sz w:val="18"/>
                <w:szCs w:val="18"/>
              </w:rPr>
              <w:br w:type="textWrapping"/>
            </w:r>
            <w:r>
              <w:rPr>
                <w:rFonts w:hint="eastAsia" w:ascii="宋体" w:hAnsi="宋体" w:eastAsia="宋体" w:cs="宋体"/>
                <w:sz w:val="18"/>
                <w:szCs w:val="18"/>
              </w:rPr>
              <w:t>污水处理场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除盐水站和污水处理场加药间</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9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公用工程部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氮[压缩的或液化的]</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N</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7727-37-9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加压气体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生产</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120m</w:t>
            </w:r>
            <w:r>
              <w:rPr>
                <w:rFonts w:hint="eastAsia" w:ascii="宋体" w:hAnsi="宋体" w:eastAsia="宋体" w:cs="宋体"/>
                <w:sz w:val="18"/>
                <w:szCs w:val="18"/>
                <w:vertAlign w:val="superscript"/>
              </w:rPr>
              <w:t>3</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空分空压站</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空分空压厂房外</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公用工程部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SO</w:t>
            </w:r>
            <w:r>
              <w:rPr>
                <w:rFonts w:hint="default" w:ascii="Times New Roman" w:hAnsi="Times New Roman" w:eastAsia="宋体" w:cs="Times New Roman"/>
                <w:sz w:val="18"/>
                <w:szCs w:val="18"/>
                <w:vertAlign w:val="subscript"/>
              </w:rPr>
              <w:t>4</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7664-93-9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皮肤腐蚀/刺激,类别1A</w:t>
            </w:r>
            <w:r>
              <w:rPr>
                <w:rFonts w:hint="eastAsia" w:ascii="宋体" w:hAnsi="宋体" w:eastAsia="宋体" w:cs="宋体"/>
                <w:sz w:val="18"/>
                <w:szCs w:val="18"/>
              </w:rPr>
              <w:br w:type="textWrapping"/>
            </w:r>
            <w:r>
              <w:rPr>
                <w:rFonts w:hint="eastAsia" w:ascii="宋体" w:hAnsi="宋体" w:eastAsia="宋体" w:cs="宋体"/>
                <w:sz w:val="18"/>
                <w:szCs w:val="18"/>
              </w:rPr>
              <w:t>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循环水场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循环水场加药间（室外罐体储存）</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公用工程部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氯酸钠</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NaClO</w:t>
            </w:r>
            <w:r>
              <w:rPr>
                <w:rFonts w:hint="eastAsia" w:ascii="宋体" w:hAnsi="宋体" w:eastAsia="宋体" w:cs="宋体"/>
                <w:sz w:val="18"/>
                <w:szCs w:val="18"/>
                <w:vertAlign w:val="subscript"/>
              </w:rPr>
              <w:t>3</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7775-9-9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氧化性固体,类别1</w:t>
            </w:r>
            <w:r>
              <w:rPr>
                <w:rFonts w:hint="eastAsia" w:ascii="宋体" w:hAnsi="宋体" w:eastAsia="宋体" w:cs="宋体"/>
                <w:sz w:val="18"/>
                <w:szCs w:val="18"/>
              </w:rPr>
              <w:br w:type="textWrapping"/>
            </w:r>
            <w:r>
              <w:rPr>
                <w:rFonts w:hint="eastAsia" w:ascii="宋体" w:hAnsi="宋体" w:eastAsia="宋体" w:cs="宋体"/>
                <w:sz w:val="18"/>
                <w:szCs w:val="18"/>
              </w:rPr>
              <w:t>危害水生环境-急性危害,类别2</w:t>
            </w:r>
            <w:r>
              <w:rPr>
                <w:rFonts w:hint="eastAsia" w:ascii="宋体" w:hAnsi="宋体" w:eastAsia="宋体" w:cs="宋体"/>
                <w:sz w:val="18"/>
                <w:szCs w:val="18"/>
              </w:rPr>
              <w:br w:type="textWrapping"/>
            </w:r>
            <w:r>
              <w:rPr>
                <w:rFonts w:hint="eastAsia" w:ascii="宋体" w:hAnsi="宋体" w:eastAsia="宋体" w:cs="宋体"/>
                <w:sz w:val="18"/>
                <w:szCs w:val="18"/>
              </w:rPr>
              <w:t>危害水生环境-长期危害,类别2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新鲜水预处理站</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新鲜水预处理站二氧化氯间</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79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公用工程部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氢氧化钠</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NaOH</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1310-73-2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皮肤腐蚀/刺激,类别1A</w:t>
            </w:r>
            <w:r>
              <w:rPr>
                <w:rFonts w:hint="eastAsia" w:ascii="宋体" w:hAnsi="宋体" w:eastAsia="宋体" w:cs="宋体"/>
                <w:sz w:val="18"/>
                <w:szCs w:val="18"/>
              </w:rPr>
              <w:br w:type="textWrapping"/>
            </w:r>
            <w:r>
              <w:rPr>
                <w:rFonts w:hint="eastAsia" w:ascii="宋体" w:hAnsi="宋体" w:eastAsia="宋体" w:cs="宋体"/>
                <w:sz w:val="18"/>
                <w:szCs w:val="18"/>
              </w:rPr>
              <w:t>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除盐水站：20吨</w:t>
            </w:r>
            <w:r>
              <w:rPr>
                <w:rFonts w:hint="eastAsia" w:ascii="宋体" w:hAnsi="宋体" w:eastAsia="宋体" w:cs="宋体"/>
                <w:sz w:val="18"/>
                <w:szCs w:val="18"/>
              </w:rPr>
              <w:br w:type="textWrapping"/>
            </w:r>
            <w:r>
              <w:rPr>
                <w:rFonts w:hint="eastAsia" w:ascii="宋体" w:hAnsi="宋体" w:eastAsia="宋体" w:cs="宋体"/>
                <w:sz w:val="18"/>
                <w:szCs w:val="18"/>
              </w:rPr>
              <w:t>污水处理场：</w:t>
            </w:r>
            <w:r>
              <w:rPr>
                <w:rFonts w:hint="eastAsia" w:ascii="宋体" w:hAnsi="宋体" w:cs="宋体"/>
                <w:sz w:val="18"/>
                <w:szCs w:val="18"/>
                <w:lang w:val="en-US" w:eastAsia="zh-CN"/>
              </w:rPr>
              <w:t>20</w:t>
            </w:r>
            <w:r>
              <w:rPr>
                <w:rFonts w:hint="eastAsia" w:ascii="宋体" w:hAnsi="宋体" w:eastAsia="宋体" w:cs="宋体"/>
                <w:sz w:val="18"/>
                <w:szCs w:val="18"/>
              </w:rPr>
              <w:t>0吨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w:t>
            </w:r>
            <w:r>
              <w:rPr>
                <w:rFonts w:hint="eastAsia" w:ascii="宋体" w:hAnsi="宋体" w:eastAsia="宋体" w:cs="宋体"/>
                <w:sz w:val="18"/>
                <w:szCs w:val="18"/>
              </w:rPr>
              <w:br w:type="textWrapping"/>
            </w:r>
            <w:r>
              <w:rPr>
                <w:rFonts w:hint="eastAsia" w:ascii="宋体" w:hAnsi="宋体" w:eastAsia="宋体" w:cs="宋体"/>
                <w:sz w:val="18"/>
                <w:szCs w:val="18"/>
              </w:rPr>
              <w:t>污水处理场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除盐水站酸碱间和污水处理场加药间</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60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公用工程部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亚硫酸氢钠</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NaHSO</w:t>
            </w:r>
            <w:r>
              <w:rPr>
                <w:rFonts w:hint="eastAsia" w:ascii="宋体" w:hAnsi="宋体" w:eastAsia="宋体" w:cs="宋体"/>
                <w:sz w:val="18"/>
                <w:szCs w:val="18"/>
                <w:vertAlign w:val="subscript"/>
              </w:rPr>
              <w:t>3</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7631-90-5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皮肤腐蚀/刺激,类别2</w:t>
            </w:r>
            <w:r>
              <w:rPr>
                <w:rFonts w:hint="eastAsia" w:ascii="宋体" w:hAnsi="宋体" w:eastAsia="宋体" w:cs="宋体"/>
                <w:sz w:val="18"/>
                <w:szCs w:val="18"/>
              </w:rPr>
              <w:br w:type="textWrapping"/>
            </w:r>
            <w:r>
              <w:rPr>
                <w:rFonts w:hint="eastAsia" w:ascii="宋体" w:hAnsi="宋体" w:eastAsia="宋体" w:cs="宋体"/>
                <w:sz w:val="18"/>
                <w:szCs w:val="18"/>
              </w:rPr>
              <w:t>严重眼损伤/眼刺激,类别2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除盐水站：2吨</w:t>
            </w:r>
            <w:r>
              <w:rPr>
                <w:rFonts w:hint="eastAsia" w:ascii="宋体" w:hAnsi="宋体" w:eastAsia="宋体" w:cs="宋体"/>
                <w:sz w:val="18"/>
                <w:szCs w:val="18"/>
              </w:rPr>
              <w:br w:type="textWrapping"/>
            </w:r>
            <w:r>
              <w:rPr>
                <w:rFonts w:hint="eastAsia" w:ascii="宋体" w:hAnsi="宋体" w:eastAsia="宋体" w:cs="宋体"/>
                <w:sz w:val="18"/>
                <w:szCs w:val="18"/>
              </w:rPr>
              <w:t>污水处理场：2吨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w:t>
            </w:r>
            <w:r>
              <w:rPr>
                <w:rFonts w:hint="eastAsia" w:ascii="宋体" w:hAnsi="宋体" w:eastAsia="宋体" w:cs="宋体"/>
                <w:sz w:val="18"/>
                <w:szCs w:val="18"/>
              </w:rPr>
              <w:br w:type="textWrapping"/>
            </w:r>
            <w:r>
              <w:rPr>
                <w:rFonts w:hint="eastAsia" w:ascii="宋体" w:hAnsi="宋体" w:eastAsia="宋体" w:cs="宋体"/>
                <w:sz w:val="18"/>
                <w:szCs w:val="18"/>
              </w:rPr>
              <w:t>污水处理场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除盐水站和污水处理场加药间</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15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公用工程部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盐酸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HCl</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7647-01-0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皮肤腐蚀/刺激,类别1B</w:t>
            </w:r>
            <w:r>
              <w:rPr>
                <w:rFonts w:hint="eastAsia" w:ascii="宋体" w:hAnsi="宋体" w:eastAsia="宋体" w:cs="宋体"/>
                <w:sz w:val="18"/>
                <w:szCs w:val="18"/>
              </w:rPr>
              <w:br w:type="page"/>
            </w:r>
            <w:r>
              <w:rPr>
                <w:rFonts w:hint="eastAsia" w:ascii="宋体" w:hAnsi="宋体" w:eastAsia="宋体" w:cs="宋体"/>
                <w:sz w:val="18"/>
                <w:szCs w:val="18"/>
              </w:rPr>
              <w:t>严重眼损伤/眼刺激,类别1</w:t>
            </w:r>
            <w:r>
              <w:rPr>
                <w:rFonts w:hint="eastAsia" w:ascii="宋体" w:hAnsi="宋体" w:eastAsia="宋体" w:cs="宋体"/>
                <w:sz w:val="18"/>
                <w:szCs w:val="18"/>
              </w:rPr>
              <w:br w:type="page"/>
            </w:r>
            <w:r>
              <w:rPr>
                <w:rFonts w:hint="eastAsia" w:ascii="宋体" w:hAnsi="宋体" w:eastAsia="宋体" w:cs="宋体"/>
                <w:sz w:val="18"/>
                <w:szCs w:val="18"/>
              </w:rPr>
              <w:t>特异性靶器官毒性-一次接触,类别3</w:t>
            </w:r>
            <w:r>
              <w:rPr>
                <w:rFonts w:hint="eastAsia" w:ascii="宋体" w:hAnsi="宋体" w:eastAsia="宋体" w:cs="宋体"/>
                <w:sz w:val="18"/>
                <w:szCs w:val="18"/>
              </w:rPr>
              <w:br w:type="page"/>
            </w:r>
            <w:r>
              <w:rPr>
                <w:rFonts w:hint="eastAsia" w:ascii="宋体" w:hAnsi="宋体" w:eastAsia="宋体" w:cs="宋体"/>
                <w:sz w:val="18"/>
                <w:szCs w:val="18"/>
              </w:rPr>
              <w:t>（呼吸道刺激）</w:t>
            </w:r>
            <w:r>
              <w:rPr>
                <w:rFonts w:hint="eastAsia" w:ascii="宋体" w:hAnsi="宋体" w:eastAsia="宋体" w:cs="宋体"/>
                <w:sz w:val="18"/>
                <w:szCs w:val="18"/>
              </w:rPr>
              <w:br w:type="page"/>
            </w:r>
            <w:r>
              <w:rPr>
                <w:rFonts w:hint="eastAsia" w:ascii="宋体" w:hAnsi="宋体" w:eastAsia="宋体" w:cs="宋体"/>
                <w:sz w:val="18"/>
                <w:szCs w:val="18"/>
              </w:rPr>
              <w:t>危害水生环境-急性危害,类别2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除盐水站：20吨</w:t>
            </w:r>
            <w:r>
              <w:rPr>
                <w:rFonts w:hint="eastAsia" w:ascii="宋体" w:hAnsi="宋体" w:eastAsia="宋体" w:cs="宋体"/>
                <w:sz w:val="18"/>
                <w:szCs w:val="18"/>
              </w:rPr>
              <w:br w:type="page"/>
            </w:r>
            <w:r>
              <w:rPr>
                <w:rFonts w:hint="eastAsia" w:ascii="宋体" w:hAnsi="宋体" w:eastAsia="宋体" w:cs="宋体"/>
                <w:sz w:val="18"/>
                <w:szCs w:val="18"/>
              </w:rPr>
              <w:t>污水处理场：0.5吨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w:t>
            </w:r>
            <w:r>
              <w:rPr>
                <w:rFonts w:hint="eastAsia" w:ascii="宋体" w:hAnsi="宋体" w:eastAsia="宋体" w:cs="宋体"/>
                <w:sz w:val="18"/>
                <w:szCs w:val="18"/>
              </w:rPr>
              <w:br w:type="page"/>
            </w:r>
            <w:r>
              <w:rPr>
                <w:rFonts w:hint="eastAsia" w:ascii="宋体" w:hAnsi="宋体" w:eastAsia="宋体" w:cs="宋体"/>
                <w:sz w:val="18"/>
                <w:szCs w:val="18"/>
              </w:rPr>
              <w:t>污水处理场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除盐水站酸碱间和污水处理场加药间</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51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液化石油气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甲烷、乙烷、乙烯、丙烷、丙烯、丁烷、丁烯</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68476-85-7</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第3.2易燃液体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0.23t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C4/C5分离塔回流罐V209</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重整分馏区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0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丙烷</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74-98-6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第2.1类易燃气体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丙烷压缩机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重整分馏区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118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w:t>
            </w:r>
            <w:r>
              <w:rPr>
                <w:rFonts w:hint="eastAsia" w:ascii="宋体" w:hAnsi="宋体" w:eastAsia="宋体" w:cs="宋体"/>
                <w:sz w:val="18"/>
                <w:szCs w:val="18"/>
                <w:vertAlign w:val="subscript"/>
              </w:rPr>
              <w:t>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133-74-0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第2.1类易燃气体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4.2吨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反应区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重整装置、柴油加氢精制装置、柴油加氢改质装置、催化汽油加氢脱硫装置</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99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汽油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4</w:t>
            </w:r>
            <w:r>
              <w:rPr>
                <w:rFonts w:hint="eastAsia" w:ascii="宋体" w:hAnsi="宋体" w:eastAsia="宋体" w:cs="宋体"/>
                <w:sz w:val="18"/>
                <w:szCs w:val="18"/>
              </w:rPr>
              <w:t>-C</w:t>
            </w:r>
            <w:r>
              <w:rPr>
                <w:rFonts w:hint="eastAsia" w:ascii="宋体" w:hAnsi="宋体" w:eastAsia="宋体" w:cs="宋体"/>
                <w:sz w:val="18"/>
                <w:szCs w:val="18"/>
                <w:vertAlign w:val="subscript"/>
              </w:rPr>
              <w:t>11</w:t>
            </w:r>
            <w:r>
              <w:rPr>
                <w:rFonts w:hint="eastAsia" w:ascii="宋体" w:hAnsi="宋体" w:eastAsia="宋体" w:cs="宋体"/>
                <w:sz w:val="18"/>
                <w:szCs w:val="18"/>
              </w:rPr>
              <w:t>烷烃、环烷烃、芳烃</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86290-81-5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第3.2易燃液体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820t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反应区、分馏区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重整装置、催化汽油加氢脱硫装置、轻汽油醚化装置</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柴油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柴油</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第3.2易燃液体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34t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反应区、分馏区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柴油加氢精制装置、柴油加氢改质装置</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石脑油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石脑油</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8030-30-6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第3.2易燃液体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168t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反应区、分馏区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重整装置、柴油加氢精制装置分馏区、柴油加氢改质装置</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煤油</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煤油</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8008-20-6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第3.2易燃液体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81t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反应区、分馏区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煤油加氢精制</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苯</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6</w:t>
            </w:r>
            <w:r>
              <w:rPr>
                <w:rFonts w:hint="eastAsia" w:ascii="宋体" w:hAnsi="宋体" w:eastAsia="宋体" w:cs="宋体"/>
                <w:sz w:val="18"/>
                <w:szCs w:val="18"/>
              </w:rPr>
              <w:t>H</w:t>
            </w:r>
            <w:r>
              <w:rPr>
                <w:rFonts w:hint="eastAsia" w:ascii="宋体" w:hAnsi="宋体" w:eastAsia="宋体" w:cs="宋体"/>
                <w:sz w:val="18"/>
                <w:szCs w:val="18"/>
                <w:vertAlign w:val="subscript"/>
              </w:rPr>
              <w:t>6</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71-43-2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第3.2易燃液体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40吨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苯抽提产品罐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苯抽提罐区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甲醇</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甲醇</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67-56-1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第3.2易燃液体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反应区、分馏区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轻汽油醚化装置</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四氯乙烯</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四氯乙烯</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1975-1-4</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第3.2易燃液体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1.5t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再生注氯罐、反应注氯罐</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重整反再区泵房内</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13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硫化氢</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硫化氢</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7783-6-4</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第2.1类易燃气体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0.05</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反应区、分馏区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重整装置、柴油加氢精制装置、柴油加氢改质装置、催化汽油加氢脱硫装置</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13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炼油二部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硫化剂</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二甲基二硫</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624-92-0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第3.2易燃液体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10t</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反应区</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重整装置、柴油加氢精制装置、柴油加氢改质装置、催化汽油加氢脱硫装置</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54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炼油三部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氨</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氨</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7664-41-7</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有毒气体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生产</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w:t>
            </w:r>
            <w:r>
              <w:rPr>
                <w:rFonts w:hint="eastAsia" w:ascii="宋体" w:hAnsi="宋体" w:eastAsia="宋体" w:cs="宋体"/>
                <w:sz w:val="18"/>
                <w:szCs w:val="18"/>
                <w:lang w:val="en-US" w:eastAsia="zh-CN"/>
              </w:rPr>
              <w:t>7</w:t>
            </w:r>
            <w:r>
              <w:rPr>
                <w:rFonts w:hint="eastAsia" w:ascii="宋体" w:hAnsi="宋体" w:eastAsia="宋体" w:cs="宋体"/>
                <w:sz w:val="18"/>
                <w:szCs w:val="18"/>
              </w:rPr>
              <w:t>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硫磺回收装置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氨精制单元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炼油三部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一氧化碳</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一氧化碳</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630-08-0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易燃气体(2.1类)</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val="en-US" w:eastAsia="zh-CN"/>
              </w:rPr>
            </w:pPr>
            <w:r>
              <w:rPr>
                <w:rFonts w:hint="eastAsia" w:ascii="宋体" w:hAnsi="宋体" w:eastAsia="宋体" w:cs="宋体"/>
                <w:sz w:val="18"/>
                <w:szCs w:val="18"/>
              </w:rPr>
              <w:t>20</w:t>
            </w:r>
            <w:r>
              <w:rPr>
                <w:rFonts w:hint="eastAsia" w:ascii="宋体" w:hAnsi="宋体" w:eastAsia="宋体" w:cs="宋体"/>
                <w:sz w:val="18"/>
                <w:szCs w:val="18"/>
                <w:lang w:val="en-US" w:eastAsia="zh-CN"/>
              </w:rPr>
              <w:t>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聚丙烯装置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聚合区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24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炼油三部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氢气</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1333-74-0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易燃气体(2.1类)</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0.01吨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聚丙烯装置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聚合区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24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炼油三部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丙烯</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丙烯</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115-07-1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易燃气体(2.1类)</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中间</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产品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60吨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聚丙烯装置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聚合区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炼油三部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三乙基铝</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三乙基铝</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97-93-8</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自燃物品(4.2类)</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2.4吨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聚丙烯装置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聚合区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炼油三部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丙烯聚合高效催化剂</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四氯化钛</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7550-45-0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腐蚀品（8.3类）</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80KG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聚丙烯装置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聚合区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炼油三部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氢氧化钠</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氢氧化钠</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1310-73-2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碱性腐蚀品(8.2类)</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0</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硫磺回收装置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硫磺回收装置</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炼油三部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夹套水缓蚀剂</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亚硝酸钠</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7632-00-0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碱性腐蚀性液体(8.3类)</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采购</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聚丙烯装置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聚合区</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炼油三部</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硫磺</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硫磺</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7704-34-9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易燃固体(4.1类)</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生产</w:t>
            </w:r>
          </w:p>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成品</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90吨</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硫磺回收装置</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硫磺回收装置</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p>
        </w:tc>
      </w:tr>
      <w:tr>
        <w:tblPrEx>
          <w:tblCellMar>
            <w:top w:w="0" w:type="dxa"/>
            <w:left w:w="108" w:type="dxa"/>
            <w:bottom w:w="0" w:type="dxa"/>
            <w:right w:w="108" w:type="dxa"/>
          </w:tblCellMar>
        </w:tblPrEx>
        <w:trPr>
          <w:trHeight w:val="90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异丙醇</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3</w:t>
            </w:r>
            <w:r>
              <w:rPr>
                <w:rFonts w:hint="eastAsia" w:ascii="宋体" w:hAnsi="宋体" w:eastAsia="宋体" w:cs="宋体"/>
                <w:sz w:val="18"/>
                <w:szCs w:val="18"/>
              </w:rPr>
              <w:t>H</w:t>
            </w:r>
            <w:r>
              <w:rPr>
                <w:rFonts w:hint="eastAsia" w:ascii="宋体" w:hAnsi="宋体" w:eastAsia="宋体" w:cs="宋体"/>
                <w:sz w:val="18"/>
                <w:szCs w:val="18"/>
                <w:vertAlign w:val="subscript"/>
              </w:rPr>
              <w:t>8</w:t>
            </w:r>
            <w:r>
              <w:rPr>
                <w:rFonts w:hint="eastAsia" w:ascii="宋体" w:hAnsi="宋体" w:eastAsia="宋体" w:cs="宋体"/>
                <w:sz w:val="18"/>
                <w:szCs w:val="18"/>
              </w:rPr>
              <w:t>O</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67-63-0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严重眼损伤/眼刺激,类别2 特异性靶器官毒性-一次接触,类别3（麻醉效应）"</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26瓶*500ml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无水乙醇</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2</w:t>
            </w:r>
            <w:r>
              <w:rPr>
                <w:rFonts w:hint="eastAsia" w:ascii="宋体" w:hAnsi="宋体" w:eastAsia="宋体" w:cs="宋体"/>
                <w:sz w:val="18"/>
                <w:szCs w:val="18"/>
              </w:rPr>
              <w:t>H</w:t>
            </w:r>
            <w:r>
              <w:rPr>
                <w:rFonts w:hint="eastAsia" w:ascii="宋体" w:hAnsi="宋体" w:eastAsia="宋体" w:cs="宋体"/>
                <w:sz w:val="18"/>
                <w:szCs w:val="18"/>
                <w:vertAlign w:val="subscript"/>
              </w:rPr>
              <w:t>6</w:t>
            </w:r>
            <w:r>
              <w:rPr>
                <w:rFonts w:hint="eastAsia" w:ascii="宋体" w:hAnsi="宋体" w:eastAsia="宋体" w:cs="宋体"/>
                <w:sz w:val="18"/>
                <w:szCs w:val="18"/>
              </w:rPr>
              <w:t>O</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64-17-5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正丁醇</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w:t>
            </w:r>
            <w:r>
              <w:rPr>
                <w:rFonts w:hint="eastAsia" w:ascii="宋体" w:hAnsi="宋体" w:eastAsia="宋体" w:cs="宋体"/>
                <w:sz w:val="18"/>
                <w:szCs w:val="18"/>
                <w:vertAlign w:val="subscript"/>
              </w:rPr>
              <w:t>3</w:t>
            </w:r>
            <w:r>
              <w:rPr>
                <w:rFonts w:hint="eastAsia" w:ascii="宋体" w:hAnsi="宋体" w:eastAsia="宋体" w:cs="宋体"/>
                <w:sz w:val="18"/>
                <w:szCs w:val="18"/>
              </w:rPr>
              <w:t>(CH</w:t>
            </w:r>
            <w:r>
              <w:rPr>
                <w:rFonts w:hint="eastAsia" w:ascii="宋体" w:hAnsi="宋体" w:eastAsia="宋体" w:cs="宋体"/>
                <w:sz w:val="18"/>
                <w:szCs w:val="18"/>
                <w:vertAlign w:val="subscript"/>
              </w:rPr>
              <w:t>2</w:t>
            </w:r>
            <w:r>
              <w:rPr>
                <w:rFonts w:hint="eastAsia" w:ascii="宋体" w:hAnsi="宋体" w:eastAsia="宋体" w:cs="宋体"/>
                <w:sz w:val="18"/>
                <w:szCs w:val="18"/>
              </w:rPr>
              <w:t>)</w:t>
            </w:r>
            <w:r>
              <w:rPr>
                <w:rFonts w:hint="eastAsia" w:ascii="宋体" w:hAnsi="宋体" w:eastAsia="宋体" w:cs="宋体"/>
                <w:sz w:val="18"/>
                <w:szCs w:val="18"/>
                <w:vertAlign w:val="subscript"/>
              </w:rPr>
              <w:t>3</w:t>
            </w:r>
            <w:r>
              <w:rPr>
                <w:rFonts w:hint="eastAsia" w:ascii="宋体" w:hAnsi="宋体" w:eastAsia="宋体" w:cs="宋体"/>
                <w:sz w:val="18"/>
                <w:szCs w:val="18"/>
              </w:rPr>
              <w:t>OH</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71-36-3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"易燃液体,类别3 皮肤腐蚀/刺激,类别2 严重眼损伤/眼刺激,类别1 特异性靶器官毒性-一次接触,类别3（呼吸道刺激、麻醉效应）"</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甲醇</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w:t>
            </w:r>
            <w:r>
              <w:rPr>
                <w:rFonts w:hint="eastAsia" w:ascii="宋体" w:hAnsi="宋体" w:eastAsia="宋体" w:cs="宋体"/>
                <w:sz w:val="18"/>
                <w:szCs w:val="18"/>
                <w:vertAlign w:val="subscript"/>
              </w:rPr>
              <w:t>3</w:t>
            </w:r>
            <w:r>
              <w:rPr>
                <w:rFonts w:hint="eastAsia" w:ascii="宋体" w:hAnsi="宋体" w:eastAsia="宋体" w:cs="宋体"/>
                <w:sz w:val="18"/>
                <w:szCs w:val="18"/>
              </w:rPr>
              <w:t>OH</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67-56-1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急性毒性-经口,类别3* 急性毒性-经皮,类别3* 急性毒性-吸入,类别3* 特异性靶器官毒性-一次接触,类别1"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12瓶*500ml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无水乙醚</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2</w:t>
            </w:r>
            <w:r>
              <w:rPr>
                <w:rFonts w:hint="eastAsia" w:ascii="宋体" w:hAnsi="宋体" w:eastAsia="宋体" w:cs="宋体"/>
                <w:sz w:val="18"/>
                <w:szCs w:val="18"/>
              </w:rPr>
              <w:t>H</w:t>
            </w:r>
            <w:r>
              <w:rPr>
                <w:rFonts w:hint="eastAsia" w:ascii="宋体" w:hAnsi="宋体" w:eastAsia="宋体" w:cs="宋体"/>
                <w:sz w:val="18"/>
                <w:szCs w:val="18"/>
                <w:vertAlign w:val="subscript"/>
              </w:rPr>
              <w:t>5</w:t>
            </w:r>
            <w:r>
              <w:rPr>
                <w:rFonts w:hint="eastAsia" w:ascii="宋体" w:hAnsi="宋体" w:eastAsia="宋体" w:cs="宋体"/>
                <w:sz w:val="18"/>
                <w:szCs w:val="18"/>
              </w:rPr>
              <w:t>OH</w:t>
            </w:r>
            <w:r>
              <w:rPr>
                <w:rFonts w:hint="eastAsia" w:ascii="宋体" w:hAnsi="宋体" w:eastAsia="宋体" w:cs="宋体"/>
                <w:sz w:val="18"/>
                <w:szCs w:val="18"/>
                <w:vertAlign w:val="subscript"/>
              </w:rPr>
              <w:t>5</w:t>
            </w:r>
            <w:r>
              <w:rPr>
                <w:rFonts w:hint="eastAsia" w:ascii="宋体" w:hAnsi="宋体" w:eastAsia="宋体" w:cs="宋体"/>
                <w:sz w:val="18"/>
                <w:szCs w:val="18"/>
              </w:rPr>
              <w:t>C</w:t>
            </w:r>
            <w:r>
              <w:rPr>
                <w:rFonts w:hint="eastAsia" w:ascii="宋体" w:hAnsi="宋体" w:eastAsia="宋体" w:cs="宋体"/>
                <w:sz w:val="18"/>
                <w:szCs w:val="18"/>
                <w:vertAlign w:val="subscript"/>
              </w:rPr>
              <w:t>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60-29-7</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"易燃液体,类别1 特异性靶器官毒性-一次接触,类别3（麻醉效应）"</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石油醚</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5</w:t>
            </w:r>
            <w:r>
              <w:rPr>
                <w:rFonts w:hint="eastAsia" w:ascii="宋体" w:hAnsi="宋体" w:eastAsia="宋体" w:cs="宋体"/>
                <w:sz w:val="18"/>
                <w:szCs w:val="18"/>
              </w:rPr>
              <w:t>H</w:t>
            </w:r>
            <w:r>
              <w:rPr>
                <w:rFonts w:hint="eastAsia" w:ascii="宋体" w:hAnsi="宋体" w:eastAsia="宋体" w:cs="宋体"/>
                <w:sz w:val="18"/>
                <w:szCs w:val="18"/>
                <w:vertAlign w:val="subscript"/>
              </w:rPr>
              <w:t>12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8032-32-4</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生殖细胞致突变性,类别1B 吸入危害,类别1 危害水生环境-急性危害,类别2 危害水生环境-长期危害,类别2"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甲基叔丁基醚</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5</w:t>
            </w:r>
            <w:r>
              <w:rPr>
                <w:rFonts w:hint="eastAsia" w:ascii="宋体" w:hAnsi="宋体" w:eastAsia="宋体" w:cs="宋体"/>
                <w:sz w:val="18"/>
                <w:szCs w:val="18"/>
              </w:rPr>
              <w:t>H</w:t>
            </w:r>
            <w:r>
              <w:rPr>
                <w:rFonts w:hint="eastAsia" w:ascii="宋体" w:hAnsi="宋体" w:eastAsia="宋体" w:cs="宋体"/>
                <w:sz w:val="18"/>
                <w:szCs w:val="18"/>
                <w:vertAlign w:val="subscript"/>
              </w:rPr>
              <w:t>12</w:t>
            </w:r>
            <w:r>
              <w:rPr>
                <w:rFonts w:hint="eastAsia" w:ascii="宋体" w:hAnsi="宋体" w:eastAsia="宋体" w:cs="宋体"/>
                <w:sz w:val="18"/>
                <w:szCs w:val="18"/>
              </w:rPr>
              <w:t>O</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1634-04-4</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皮肤腐蚀/刺激,类别2"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二异丙胺</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6</w:t>
            </w:r>
            <w:r>
              <w:rPr>
                <w:rFonts w:hint="eastAsia" w:ascii="宋体" w:hAnsi="宋体" w:eastAsia="宋体" w:cs="宋体"/>
                <w:sz w:val="18"/>
                <w:szCs w:val="18"/>
              </w:rPr>
              <w:t>H</w:t>
            </w:r>
            <w:r>
              <w:rPr>
                <w:rFonts w:hint="eastAsia" w:ascii="宋体" w:hAnsi="宋体" w:eastAsia="宋体" w:cs="宋体"/>
                <w:sz w:val="18"/>
                <w:szCs w:val="18"/>
                <w:vertAlign w:val="subscript"/>
              </w:rPr>
              <w:t>15</w:t>
            </w:r>
            <w:r>
              <w:rPr>
                <w:rFonts w:hint="eastAsia" w:ascii="宋体" w:hAnsi="宋体" w:eastAsia="宋体" w:cs="宋体"/>
                <w:sz w:val="18"/>
                <w:szCs w:val="18"/>
              </w:rPr>
              <w:t>N</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108-18-9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皮肤腐蚀/刺激,类别1B 严重眼损伤/眼刺激,类别1 特异性靶器官毒性-一次接触,类别3（呼吸道刺激）"</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5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酒石酸锑钾</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8</w:t>
            </w:r>
            <w:r>
              <w:rPr>
                <w:rFonts w:hint="eastAsia" w:ascii="宋体" w:hAnsi="宋体" w:eastAsia="宋体" w:cs="宋体"/>
                <w:sz w:val="18"/>
                <w:szCs w:val="18"/>
              </w:rPr>
              <w:t>H</w:t>
            </w:r>
            <w:r>
              <w:rPr>
                <w:rFonts w:hint="eastAsia" w:ascii="宋体" w:hAnsi="宋体" w:eastAsia="宋体" w:cs="宋体"/>
                <w:sz w:val="18"/>
                <w:szCs w:val="18"/>
                <w:vertAlign w:val="subscript"/>
              </w:rPr>
              <w:t>4</w:t>
            </w:r>
            <w:r>
              <w:rPr>
                <w:rFonts w:hint="eastAsia" w:ascii="宋体" w:hAnsi="宋体" w:eastAsia="宋体" w:cs="宋体"/>
                <w:sz w:val="18"/>
                <w:szCs w:val="18"/>
              </w:rPr>
              <w:t>K</w:t>
            </w:r>
            <w:r>
              <w:rPr>
                <w:rFonts w:hint="eastAsia" w:ascii="宋体" w:hAnsi="宋体" w:eastAsia="宋体" w:cs="宋体"/>
                <w:sz w:val="18"/>
                <w:szCs w:val="18"/>
                <w:vertAlign w:val="subscript"/>
              </w:rPr>
              <w:t>2</w:t>
            </w:r>
            <w:r>
              <w:rPr>
                <w:rFonts w:hint="eastAsia" w:ascii="宋体" w:hAnsi="宋体" w:eastAsia="宋体" w:cs="宋体"/>
                <w:sz w:val="18"/>
                <w:szCs w:val="18"/>
              </w:rPr>
              <w:t>O</w:t>
            </w:r>
            <w:r>
              <w:rPr>
                <w:rFonts w:hint="eastAsia" w:ascii="宋体" w:hAnsi="宋体" w:eastAsia="宋体" w:cs="宋体"/>
                <w:sz w:val="18"/>
                <w:szCs w:val="18"/>
                <w:vertAlign w:val="subscript"/>
              </w:rPr>
              <w:t>12</w:t>
            </w:r>
            <w:r>
              <w:rPr>
                <w:rFonts w:hint="eastAsia" w:ascii="宋体" w:hAnsi="宋体" w:eastAsia="宋体" w:cs="宋体"/>
                <w:sz w:val="18"/>
                <w:szCs w:val="18"/>
              </w:rPr>
              <w:t>Sb</w:t>
            </w:r>
            <w:r>
              <w:rPr>
                <w:rFonts w:hint="eastAsia" w:ascii="宋体" w:hAnsi="宋体" w:eastAsia="宋体" w:cs="宋体"/>
                <w:sz w:val="18"/>
                <w:szCs w:val="18"/>
                <w:vertAlign w:val="subscript"/>
              </w:rPr>
              <w:t>2</w:t>
            </w:r>
            <w:r>
              <w:rPr>
                <w:rFonts w:hint="eastAsia" w:ascii="宋体" w:hAnsi="宋体" w:eastAsia="宋体" w:cs="宋体"/>
                <w:sz w:val="18"/>
                <w:szCs w:val="18"/>
              </w:rPr>
              <w:t>.3(H</w:t>
            </w:r>
            <w:r>
              <w:rPr>
                <w:rFonts w:hint="eastAsia" w:ascii="宋体" w:hAnsi="宋体" w:eastAsia="宋体" w:cs="宋体"/>
                <w:sz w:val="18"/>
                <w:szCs w:val="18"/>
                <w:vertAlign w:val="subscript"/>
              </w:rPr>
              <w:t>2</w:t>
            </w:r>
            <w:r>
              <w:rPr>
                <w:rFonts w:hint="eastAsia" w:ascii="宋体" w:hAnsi="宋体" w:eastAsia="宋体" w:cs="宋体"/>
                <w:sz w:val="18"/>
                <w:szCs w:val="18"/>
              </w:rPr>
              <w:t>O)</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28300-74-5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"急性毒性-经口,类别3 生殖细胞致突变性,类别2 特异性靶器官毒性-一次接触,类别1 特异性靶器官毒性-反复接触,类别1 危害水生环境-急性危害,类别2 危害水生环境-长期危害,类别2"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613"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硫酸镉</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CdSO</w:t>
            </w:r>
            <w:r>
              <w:rPr>
                <w:rFonts w:hint="eastAsia" w:ascii="宋体" w:hAnsi="宋体" w:eastAsia="宋体" w:cs="宋体"/>
                <w:sz w:val="18"/>
                <w:szCs w:val="18"/>
                <w:vertAlign w:val="subscript"/>
              </w:rPr>
              <w:t>4</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10124-36-4</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"急性毒性-经口,类别3* 急性毒性-吸入,类别2* 生殖细胞致突变性,类别1B 致癌性,类别1A 生殖毒性,类别1B 特异性靶器官毒性-反复接触,类别1 危害水生环境-急性危害,类别1 危害水生环境-长期危害,类别1"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亚硫酸氢钠</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HNaO</w:t>
            </w:r>
            <w:r>
              <w:rPr>
                <w:rFonts w:hint="eastAsia" w:ascii="宋体" w:hAnsi="宋体" w:eastAsia="宋体" w:cs="宋体"/>
                <w:sz w:val="18"/>
                <w:szCs w:val="18"/>
                <w:vertAlign w:val="subscript"/>
              </w:rPr>
              <w:t>3</w:t>
            </w:r>
            <w:r>
              <w:rPr>
                <w:rFonts w:hint="eastAsia" w:ascii="宋体" w:hAnsi="宋体" w:eastAsia="宋体" w:cs="宋体"/>
                <w:sz w:val="18"/>
                <w:szCs w:val="18"/>
              </w:rPr>
              <w:t>S</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7631-90-5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"皮肤腐蚀/刺激,类别2 严重眼损伤/眼刺激,类别2"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硫酸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w:t>
            </w:r>
            <w:r>
              <w:rPr>
                <w:rFonts w:hint="eastAsia" w:ascii="宋体" w:hAnsi="宋体" w:eastAsia="宋体" w:cs="宋体"/>
                <w:sz w:val="18"/>
                <w:szCs w:val="18"/>
                <w:vertAlign w:val="subscript"/>
              </w:rPr>
              <w:t>2</w:t>
            </w:r>
            <w:r>
              <w:rPr>
                <w:rFonts w:hint="eastAsia" w:ascii="宋体" w:hAnsi="宋体" w:eastAsia="宋体" w:cs="宋体"/>
                <w:sz w:val="18"/>
                <w:szCs w:val="18"/>
              </w:rPr>
              <w:t>SO</w:t>
            </w:r>
            <w:r>
              <w:rPr>
                <w:rFonts w:hint="eastAsia" w:ascii="宋体" w:hAnsi="宋体" w:eastAsia="宋体" w:cs="宋体"/>
                <w:sz w:val="18"/>
                <w:szCs w:val="18"/>
                <w:vertAlign w:val="subscript"/>
              </w:rPr>
              <w:t>4</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7664-93-9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"皮肤腐蚀/刺激,类别1A 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盐酸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HCl</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7647-01-0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"皮肤腐蚀/刺激,类别1B 严重眼损伤/眼刺激,类别1 特异性靶器官毒性-一次接触,类别3（呼吸道刺激） 危害水生环境-急性危害,类别2"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硝酸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HNO</w:t>
            </w:r>
            <w:r>
              <w:rPr>
                <w:rFonts w:hint="eastAsia" w:ascii="宋体" w:hAnsi="宋体" w:eastAsia="宋体" w:cs="宋体"/>
                <w:sz w:val="18"/>
                <w:szCs w:val="18"/>
                <w:vertAlign w:val="subscript"/>
              </w:rPr>
              <w:t>3</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7697-37-2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"氧化性液体,类别3 皮肤腐蚀/刺激,类别1A 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磷酸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w:t>
            </w:r>
            <w:r>
              <w:rPr>
                <w:rFonts w:hint="eastAsia" w:ascii="宋体" w:hAnsi="宋体" w:eastAsia="宋体" w:cs="宋体"/>
                <w:sz w:val="18"/>
                <w:szCs w:val="18"/>
                <w:vertAlign w:val="subscript"/>
              </w:rPr>
              <w:t>3</w:t>
            </w:r>
            <w:r>
              <w:rPr>
                <w:rFonts w:hint="eastAsia" w:ascii="宋体" w:hAnsi="宋体" w:eastAsia="宋体" w:cs="宋体"/>
                <w:sz w:val="18"/>
                <w:szCs w:val="18"/>
              </w:rPr>
              <w:t>PO</w:t>
            </w:r>
            <w:r>
              <w:rPr>
                <w:rFonts w:hint="eastAsia" w:ascii="宋体" w:hAnsi="宋体" w:eastAsia="宋体" w:cs="宋体"/>
                <w:sz w:val="18"/>
                <w:szCs w:val="18"/>
                <w:vertAlign w:val="subscript"/>
              </w:rPr>
              <w:t>4</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7664-38-2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"皮肤腐蚀/刺激,类别1B 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氢氟酸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HF</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7664-39-3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"急性毒性-经口,类别2* 急性毒性-经皮,类别1 急性毒性-吸入,类别2* 皮肤腐蚀/刺激,类别1A 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w:t>
            </w:r>
            <w:r>
              <w:rPr>
                <w:rFonts w:hint="eastAsia" w:ascii="宋体" w:hAnsi="宋体" w:eastAsia="宋体" w:cs="宋体"/>
                <w:sz w:val="18"/>
                <w:szCs w:val="18"/>
                <w:vertAlign w:val="subscript"/>
              </w:rPr>
              <w:t>2</w:t>
            </w:r>
            <w:r>
              <w:rPr>
                <w:rFonts w:hint="eastAsia" w:ascii="宋体" w:hAnsi="宋体" w:eastAsia="宋体" w:cs="宋体"/>
                <w:sz w:val="18"/>
                <w:szCs w:val="18"/>
              </w:rPr>
              <w:t>O</w:t>
            </w:r>
            <w:r>
              <w:rPr>
                <w:rFonts w:hint="eastAsia" w:ascii="宋体" w:hAnsi="宋体" w:eastAsia="宋体" w:cs="宋体"/>
                <w:sz w:val="18"/>
                <w:szCs w:val="18"/>
                <w:vertAlign w:val="subscript"/>
              </w:rPr>
              <w:t>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64-18-6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"皮肤腐蚀/刺激,类别1A 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高氯酸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HClO</w:t>
            </w:r>
            <w:r>
              <w:rPr>
                <w:rFonts w:hint="eastAsia" w:ascii="宋体" w:hAnsi="宋体" w:eastAsia="宋体" w:cs="宋体"/>
                <w:sz w:val="18"/>
                <w:szCs w:val="18"/>
                <w:vertAlign w:val="subscript"/>
              </w:rPr>
              <w:t>4</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7601-90-3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"氧化性液体,类别1 皮肤腐蚀/刺激,类别1A 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90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丙酮</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w:t>
            </w:r>
            <w:r>
              <w:rPr>
                <w:rFonts w:hint="eastAsia" w:ascii="宋体" w:hAnsi="宋体" w:eastAsia="宋体" w:cs="宋体"/>
                <w:sz w:val="18"/>
                <w:szCs w:val="18"/>
                <w:vertAlign w:val="subscript"/>
              </w:rPr>
              <w:t>3</w:t>
            </w:r>
            <w:r>
              <w:rPr>
                <w:rFonts w:hint="eastAsia" w:ascii="宋体" w:hAnsi="宋体" w:eastAsia="宋体" w:cs="宋体"/>
                <w:sz w:val="18"/>
                <w:szCs w:val="18"/>
              </w:rPr>
              <w:t>COCH</w:t>
            </w:r>
            <w:r>
              <w:rPr>
                <w:rFonts w:hint="eastAsia" w:ascii="宋体" w:hAnsi="宋体" w:eastAsia="宋体" w:cs="宋体"/>
                <w:sz w:val="18"/>
                <w:szCs w:val="18"/>
                <w:vertAlign w:val="subscript"/>
              </w:rPr>
              <w:t>3</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67-64-1</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严重眼损伤/眼刺激,类别2 特异性靶器官毒性-一次接触,类别3（麻醉效应）"</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12瓶*500ml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20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甲苯</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7</w:t>
            </w:r>
            <w:r>
              <w:rPr>
                <w:rFonts w:hint="eastAsia" w:ascii="宋体" w:hAnsi="宋体" w:eastAsia="宋体" w:cs="宋体"/>
                <w:sz w:val="18"/>
                <w:szCs w:val="18"/>
              </w:rPr>
              <w:t>H</w:t>
            </w:r>
            <w:r>
              <w:rPr>
                <w:rFonts w:hint="eastAsia" w:ascii="宋体" w:hAnsi="宋体" w:eastAsia="宋体" w:cs="宋体"/>
                <w:sz w:val="18"/>
                <w:szCs w:val="18"/>
                <w:vertAlign w:val="subscript"/>
              </w:rPr>
              <w:t>8</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108-88-3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皮肤腐蚀/刺激,类别2 生殖毒性,类别2 特异性靶器官毒性-一次接触,类别3（麻醉效应） 特异性靶器官毒性-反复接触,类别2* 吸入危害,类别1 危害水生环境-急性危害,类别2 危害水生环境-长期危害,类别3"</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5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四氯化碳</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CCl</w:t>
            </w:r>
            <w:r>
              <w:rPr>
                <w:rFonts w:hint="eastAsia" w:ascii="宋体" w:hAnsi="宋体" w:eastAsia="宋体" w:cs="宋体"/>
                <w:sz w:val="18"/>
                <w:szCs w:val="18"/>
                <w:vertAlign w:val="subscript"/>
              </w:rPr>
              <w:t>4</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56-23-5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"急性毒性-经口,类别3* 急性毒性-经皮,类别3* 急性毒性-吸入,类别3* 致癌性,类别2 特异性靶器官毒性-反复接触,类别1 危害水生环境-长期危害,类别3 危害臭氧层,类别1"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90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丁酮</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w:t>
            </w:r>
            <w:r>
              <w:rPr>
                <w:rFonts w:hint="eastAsia" w:ascii="宋体" w:hAnsi="宋体" w:eastAsia="宋体" w:cs="宋体"/>
                <w:sz w:val="18"/>
                <w:szCs w:val="18"/>
                <w:vertAlign w:val="subscript"/>
              </w:rPr>
              <w:t>3</w:t>
            </w:r>
            <w:r>
              <w:rPr>
                <w:rFonts w:hint="eastAsia" w:ascii="宋体" w:hAnsi="宋体" w:eastAsia="宋体" w:cs="宋体"/>
                <w:sz w:val="18"/>
                <w:szCs w:val="18"/>
              </w:rPr>
              <w:t>COCH</w:t>
            </w:r>
            <w:r>
              <w:rPr>
                <w:rFonts w:hint="eastAsia" w:ascii="宋体" w:hAnsi="宋体" w:eastAsia="宋体" w:cs="宋体"/>
                <w:sz w:val="18"/>
                <w:szCs w:val="18"/>
                <w:vertAlign w:val="subscript"/>
              </w:rPr>
              <w:t>2</w:t>
            </w:r>
            <w:r>
              <w:rPr>
                <w:rFonts w:hint="eastAsia" w:ascii="宋体" w:hAnsi="宋体" w:eastAsia="宋体" w:cs="宋体"/>
                <w:sz w:val="18"/>
                <w:szCs w:val="18"/>
              </w:rPr>
              <w:t>CH</w:t>
            </w:r>
            <w:r>
              <w:rPr>
                <w:rFonts w:hint="eastAsia" w:ascii="宋体" w:hAnsi="宋体" w:eastAsia="宋体" w:cs="宋体"/>
                <w:sz w:val="18"/>
                <w:szCs w:val="18"/>
                <w:vertAlign w:val="subscript"/>
              </w:rPr>
              <w:t>3</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78-93-3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严重眼损伤/眼刺激,类别2 特异性靶器官毒性-一次接触,类别3（麻醉效应）"</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6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冰乙酸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w:t>
            </w:r>
            <w:r>
              <w:rPr>
                <w:rFonts w:hint="eastAsia" w:ascii="宋体" w:hAnsi="宋体" w:eastAsia="宋体" w:cs="宋体"/>
                <w:sz w:val="18"/>
                <w:szCs w:val="18"/>
                <w:vertAlign w:val="subscript"/>
              </w:rPr>
              <w:t>3</w:t>
            </w:r>
            <w:r>
              <w:rPr>
                <w:rFonts w:hint="eastAsia" w:ascii="宋体" w:hAnsi="宋体" w:eastAsia="宋体" w:cs="宋体"/>
                <w:sz w:val="18"/>
                <w:szCs w:val="18"/>
              </w:rPr>
              <w:t>COOH</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64-19-7</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"易燃液体,类别3 皮肤腐蚀/刺激,类别1A 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24瓶*500ml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5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正庚烷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7</w:t>
            </w:r>
            <w:r>
              <w:rPr>
                <w:rFonts w:hint="eastAsia" w:ascii="宋体" w:hAnsi="宋体" w:eastAsia="宋体" w:cs="宋体"/>
                <w:sz w:val="18"/>
                <w:szCs w:val="18"/>
              </w:rPr>
              <w:t>H</w:t>
            </w:r>
            <w:r>
              <w:rPr>
                <w:rFonts w:hint="eastAsia" w:ascii="宋体" w:hAnsi="宋体" w:eastAsia="宋体" w:cs="宋体"/>
                <w:sz w:val="18"/>
                <w:szCs w:val="18"/>
                <w:vertAlign w:val="subscript"/>
              </w:rPr>
              <w:t>16</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142-82-5</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皮肤腐蚀/刺激,类别2 特异性靶器官毒性-一次接触,类别3（麻醉效应） 吸入危害,类别1 危害水生环境-急性危害,类别1 危害水生环境-长期危害,类别1"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15瓶*500ml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93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异辛烷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w:t>
            </w:r>
            <w:r>
              <w:rPr>
                <w:rFonts w:hint="eastAsia" w:ascii="宋体" w:hAnsi="宋体" w:eastAsia="宋体" w:cs="宋体"/>
                <w:sz w:val="18"/>
                <w:szCs w:val="18"/>
                <w:vertAlign w:val="subscript"/>
              </w:rPr>
              <w:t>3</w:t>
            </w:r>
            <w:r>
              <w:rPr>
                <w:rFonts w:hint="eastAsia" w:ascii="宋体" w:hAnsi="宋体" w:eastAsia="宋体" w:cs="宋体"/>
                <w:sz w:val="18"/>
                <w:szCs w:val="18"/>
              </w:rPr>
              <w:t>)</w:t>
            </w:r>
            <w:r>
              <w:rPr>
                <w:rFonts w:hint="eastAsia" w:ascii="宋体" w:hAnsi="宋体" w:eastAsia="宋体" w:cs="宋体"/>
                <w:sz w:val="18"/>
                <w:szCs w:val="18"/>
                <w:vertAlign w:val="subscript"/>
              </w:rPr>
              <w:t>2</w:t>
            </w:r>
            <w:r>
              <w:rPr>
                <w:rFonts w:hint="eastAsia" w:ascii="宋体" w:hAnsi="宋体" w:eastAsia="宋体" w:cs="宋体"/>
                <w:sz w:val="18"/>
                <w:szCs w:val="18"/>
              </w:rPr>
              <w:t>CHCH</w:t>
            </w:r>
            <w:r>
              <w:rPr>
                <w:rFonts w:hint="eastAsia" w:ascii="宋体" w:hAnsi="宋体" w:eastAsia="宋体" w:cs="宋体"/>
                <w:sz w:val="18"/>
                <w:szCs w:val="18"/>
                <w:vertAlign w:val="subscript"/>
              </w:rPr>
              <w:t>2</w:t>
            </w:r>
            <w:r>
              <w:rPr>
                <w:rFonts w:hint="eastAsia" w:ascii="宋体" w:hAnsi="宋体" w:eastAsia="宋体" w:cs="宋体"/>
                <w:sz w:val="18"/>
                <w:szCs w:val="18"/>
              </w:rPr>
              <w:t>C(CH</w:t>
            </w:r>
            <w:r>
              <w:rPr>
                <w:rFonts w:hint="eastAsia" w:ascii="宋体" w:hAnsi="宋体" w:eastAsia="宋体" w:cs="宋体"/>
                <w:sz w:val="18"/>
                <w:szCs w:val="18"/>
                <w:vertAlign w:val="subscript"/>
              </w:rPr>
              <w:t>3</w:t>
            </w:r>
            <w:r>
              <w:rPr>
                <w:rFonts w:hint="eastAsia" w:ascii="宋体" w:hAnsi="宋体" w:eastAsia="宋体" w:cs="宋体"/>
                <w:sz w:val="18"/>
                <w:szCs w:val="18"/>
              </w:rPr>
              <w:t>)</w:t>
            </w:r>
            <w:r>
              <w:rPr>
                <w:rFonts w:hint="eastAsia" w:ascii="宋体" w:hAnsi="宋体" w:eastAsia="宋体" w:cs="宋体"/>
                <w:sz w:val="18"/>
                <w:szCs w:val="18"/>
                <w:vertAlign w:val="subscript"/>
              </w:rPr>
              <w:t>3</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26635-64-3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皮肤腐蚀/刺激,类别2 特异性靶器官毒性-一次接触,类别3（麻醉效应） 吸入危害,类别1 危害水生环境-急性危害,类别1 危害水生环境-长期危害,类别1"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24瓶*500ml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20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正己烷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6</w:t>
            </w:r>
            <w:r>
              <w:rPr>
                <w:rFonts w:hint="eastAsia" w:ascii="宋体" w:hAnsi="宋体" w:eastAsia="宋体" w:cs="宋体"/>
                <w:sz w:val="18"/>
                <w:szCs w:val="18"/>
              </w:rPr>
              <w:t>H</w:t>
            </w:r>
            <w:r>
              <w:rPr>
                <w:rFonts w:hint="eastAsia" w:ascii="宋体" w:hAnsi="宋体" w:eastAsia="宋体" w:cs="宋体"/>
                <w:sz w:val="18"/>
                <w:szCs w:val="18"/>
                <w:vertAlign w:val="subscript"/>
              </w:rPr>
              <w:t>14</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110-54-3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皮肤腐蚀/刺激,类别2 生殖毒性,类别2 特异性靶器官毒性-一次接触,类别3（麻醉效应） 特异性靶器官毒性-反复接触,类别2* 吸入危害,类别1 危害水生环境-急性危害,类别2 危害水生环境-长期危害,类别2"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79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正戊烷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5</w:t>
            </w:r>
            <w:r>
              <w:rPr>
                <w:rFonts w:hint="eastAsia" w:ascii="宋体" w:hAnsi="宋体" w:eastAsia="宋体" w:cs="宋体"/>
                <w:sz w:val="18"/>
                <w:szCs w:val="18"/>
              </w:rPr>
              <w:t>H</w:t>
            </w:r>
            <w:r>
              <w:rPr>
                <w:rFonts w:hint="eastAsia" w:ascii="宋体" w:hAnsi="宋体" w:eastAsia="宋体" w:cs="宋体"/>
                <w:sz w:val="18"/>
                <w:szCs w:val="18"/>
                <w:vertAlign w:val="subscript"/>
              </w:rPr>
              <w:t>12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109-66-0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特异性靶器官毒性-一次接触,类别3（麻醉效应） 吸入危害,类别1 危害水生环境-急性危害,类别2"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90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环己烷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6</w:t>
            </w:r>
            <w:r>
              <w:rPr>
                <w:rFonts w:hint="eastAsia" w:ascii="宋体" w:hAnsi="宋体" w:eastAsia="宋体" w:cs="宋体"/>
                <w:sz w:val="18"/>
                <w:szCs w:val="18"/>
              </w:rPr>
              <w:t>H</w:t>
            </w:r>
            <w:r>
              <w:rPr>
                <w:rFonts w:hint="eastAsia" w:ascii="宋体" w:hAnsi="宋体" w:eastAsia="宋体" w:cs="宋体"/>
                <w:sz w:val="18"/>
                <w:szCs w:val="18"/>
                <w:vertAlign w:val="subscript"/>
              </w:rPr>
              <w:t>12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108-91-8</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"易燃液体,类别3 皮肤腐蚀/刺激,类别1B 严重眼损伤/眼刺激,类别1 生殖毒性,类别2"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5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正辛烷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8</w:t>
            </w:r>
            <w:r>
              <w:rPr>
                <w:rFonts w:hint="eastAsia" w:ascii="宋体" w:hAnsi="宋体" w:eastAsia="宋体" w:cs="宋体"/>
                <w:sz w:val="18"/>
                <w:szCs w:val="18"/>
              </w:rPr>
              <w:t>H</w:t>
            </w:r>
            <w:r>
              <w:rPr>
                <w:rFonts w:hint="eastAsia" w:ascii="宋体" w:hAnsi="宋体" w:eastAsia="宋体" w:cs="宋体"/>
                <w:sz w:val="18"/>
                <w:szCs w:val="18"/>
                <w:vertAlign w:val="subscript"/>
              </w:rPr>
              <w:t>18</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111-65-9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"易燃液体,类别2 皮肤腐蚀/刺激,类别2 特异性靶器官毒性-一次接触,类别3（麻醉效应） 吸入危害,类别1 危害水生环境-急性危害,类别1 危害水生环境-长期危害,类别1"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3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三氯甲烷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CHCl₃</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67-66-3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"急性毒性-吸入,类别3 皮肤腐蚀/刺激,类别2 严重眼损伤/眼刺激,类别2 致癌性,类别2 生殖毒性,类别2 特异性靶器官毒性-反复接触,类别1"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57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二氯甲烷</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w:t>
            </w:r>
            <w:r>
              <w:rPr>
                <w:rFonts w:hint="eastAsia" w:ascii="宋体" w:hAnsi="宋体" w:eastAsia="宋体" w:cs="宋体"/>
                <w:sz w:val="18"/>
                <w:szCs w:val="18"/>
                <w:vertAlign w:val="subscript"/>
              </w:rPr>
              <w:t>2</w:t>
            </w:r>
            <w:r>
              <w:rPr>
                <w:rFonts w:hint="eastAsia" w:ascii="宋体" w:hAnsi="宋体" w:eastAsia="宋体" w:cs="宋体"/>
                <w:sz w:val="18"/>
                <w:szCs w:val="18"/>
              </w:rPr>
              <w:t>Cl</w:t>
            </w:r>
            <w:r>
              <w:rPr>
                <w:rFonts w:hint="eastAsia" w:ascii="宋体" w:hAnsi="宋体" w:eastAsia="宋体" w:cs="宋体"/>
                <w:sz w:val="18"/>
                <w:szCs w:val="18"/>
                <w:vertAlign w:val="subscript"/>
              </w:rPr>
              <w:t>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75-09-2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"皮肤腐蚀/刺激,类别2 严重眼损伤/眼刺激,类别2A 致癌性,类别2 特异性靶器官毒性-一次接触,类别1 特异性靶器官毒性-一次接触,类别3（麻醉效应） 特异性靶器官毒性-反复接触,类别1"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高氯酸镁</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Mg(ClO4)</w:t>
            </w:r>
            <w:r>
              <w:rPr>
                <w:rFonts w:hint="eastAsia" w:ascii="宋体" w:hAnsi="宋体" w:eastAsia="宋体" w:cs="宋体"/>
                <w:sz w:val="18"/>
                <w:szCs w:val="18"/>
                <w:vertAlign w:val="subscript"/>
              </w:rPr>
              <w:t>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10034-81-8</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氧化性固体,类别2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5瓶*500g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31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重铬酸钾</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K</w:t>
            </w:r>
            <w:r>
              <w:rPr>
                <w:rFonts w:hint="eastAsia" w:ascii="宋体" w:hAnsi="宋体" w:eastAsia="宋体" w:cs="宋体"/>
                <w:sz w:val="18"/>
                <w:szCs w:val="18"/>
                <w:vertAlign w:val="subscript"/>
              </w:rPr>
              <w:t>2</w:t>
            </w:r>
            <w:r>
              <w:rPr>
                <w:rFonts w:hint="eastAsia" w:ascii="宋体" w:hAnsi="宋体" w:eastAsia="宋体" w:cs="宋体"/>
                <w:sz w:val="18"/>
                <w:szCs w:val="18"/>
              </w:rPr>
              <w:t>Cr</w:t>
            </w:r>
            <w:r>
              <w:rPr>
                <w:rFonts w:hint="eastAsia" w:ascii="宋体" w:hAnsi="宋体" w:eastAsia="宋体" w:cs="宋体"/>
                <w:sz w:val="18"/>
                <w:szCs w:val="18"/>
                <w:vertAlign w:val="subscript"/>
              </w:rPr>
              <w:t>2</w:t>
            </w:r>
            <w:r>
              <w:rPr>
                <w:rFonts w:hint="eastAsia" w:ascii="宋体" w:hAnsi="宋体" w:eastAsia="宋体" w:cs="宋体"/>
                <w:sz w:val="18"/>
                <w:szCs w:val="18"/>
              </w:rPr>
              <w:t>O</w:t>
            </w:r>
            <w:r>
              <w:rPr>
                <w:rFonts w:hint="eastAsia" w:ascii="宋体" w:hAnsi="宋体" w:eastAsia="宋体" w:cs="宋体"/>
                <w:sz w:val="18"/>
                <w:szCs w:val="18"/>
                <w:vertAlign w:val="subscript"/>
              </w:rPr>
              <w:t>7</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7778-50-9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"氧化性固体,类别2 急性毒性-经口,类别3* 急性毒性-吸入,类别2* 皮肤腐蚀/刺激,类别1B 严重眼损伤/眼刺激,类别1 呼吸道致敏物,类别1 皮肤致敏物,类别1 生殖细胞致突变性,类别1B 致癌性,类别1A 生殖毒性,类别1B 特异性靶器官毒性-一次接触,类别3（呼吸道刺激） 特异性靶器官毒性-反复接触,类别1 危害水生环境-急性危害,类别1 危害水生环境-长期危害,类别1"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氢氧化钾</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KOH</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1310-58-3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"皮肤腐蚀/刺激,类别1A 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2瓶*500g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90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96</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顺丁烯二酸酐</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4</w:t>
            </w:r>
            <w:r>
              <w:rPr>
                <w:rFonts w:hint="eastAsia" w:ascii="宋体" w:hAnsi="宋体" w:eastAsia="宋体" w:cs="宋体"/>
                <w:sz w:val="18"/>
                <w:szCs w:val="18"/>
              </w:rPr>
              <w:t>H</w:t>
            </w:r>
            <w:r>
              <w:rPr>
                <w:rFonts w:hint="eastAsia" w:ascii="宋体" w:hAnsi="宋体" w:eastAsia="宋体" w:cs="宋体"/>
                <w:sz w:val="18"/>
                <w:szCs w:val="18"/>
                <w:vertAlign w:val="subscript"/>
              </w:rPr>
              <w:t>2</w:t>
            </w:r>
            <w:r>
              <w:rPr>
                <w:rFonts w:hint="eastAsia" w:ascii="宋体" w:hAnsi="宋体" w:eastAsia="宋体" w:cs="宋体"/>
                <w:sz w:val="18"/>
                <w:szCs w:val="18"/>
              </w:rPr>
              <w:t>O</w:t>
            </w:r>
            <w:r>
              <w:rPr>
                <w:rFonts w:hint="eastAsia" w:ascii="宋体" w:hAnsi="宋体" w:eastAsia="宋体" w:cs="宋体"/>
                <w:sz w:val="18"/>
                <w:szCs w:val="18"/>
                <w:vertAlign w:val="subscript"/>
              </w:rPr>
              <w:t>3</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108-31-6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"皮肤腐蚀/刺激,类别1B 严重眼损伤/眼刺激,类别1 呼吸道致敏物,类别1 皮肤致敏物,类别1"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8瓶*500g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97</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氢氧化钠</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NaOH</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1310-73-2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"皮肤腐蚀/刺激,类别1A 严重眼损伤/眼刺激,类别1"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98</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升华硫</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S</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7704-34-9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易燃固体,类别2</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99</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氨水</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NH</w:t>
            </w:r>
            <w:r>
              <w:rPr>
                <w:rFonts w:hint="eastAsia" w:ascii="宋体" w:hAnsi="宋体" w:eastAsia="宋体" w:cs="宋体"/>
                <w:sz w:val="18"/>
                <w:szCs w:val="18"/>
                <w:vertAlign w:val="subscript"/>
              </w:rPr>
              <w:t>3</w:t>
            </w:r>
            <w:r>
              <w:rPr>
                <w:rFonts w:hint="eastAsia" w:ascii="宋体" w:hAnsi="宋体" w:eastAsia="宋体" w:cs="宋体"/>
                <w:sz w:val="18"/>
                <w:szCs w:val="18"/>
              </w:rPr>
              <w:t>·H</w:t>
            </w:r>
            <w:r>
              <w:rPr>
                <w:rFonts w:hint="eastAsia" w:ascii="宋体" w:hAnsi="宋体" w:eastAsia="宋体" w:cs="宋体"/>
                <w:sz w:val="18"/>
                <w:szCs w:val="18"/>
                <w:vertAlign w:val="subscript"/>
              </w:rPr>
              <w:t>2</w:t>
            </w:r>
            <w:r>
              <w:rPr>
                <w:rFonts w:hint="eastAsia" w:ascii="宋体" w:hAnsi="宋体" w:eastAsia="宋体" w:cs="宋体"/>
                <w:sz w:val="18"/>
                <w:szCs w:val="18"/>
              </w:rPr>
              <w:t>O</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1336-21-6</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"皮肤腐蚀/刺激,类别1B 严重眼损伤/眼刺激,类别1 特异性靶器官毒性-一次接触,类别3（呼吸道刺激） 危害水生环境-急性危害,类别1"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4瓶*500ml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1125"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100</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乙酸铅</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(CH</w:t>
            </w:r>
            <w:r>
              <w:rPr>
                <w:rFonts w:hint="eastAsia" w:ascii="宋体" w:hAnsi="宋体" w:eastAsia="宋体" w:cs="宋体"/>
                <w:sz w:val="18"/>
                <w:szCs w:val="18"/>
                <w:vertAlign w:val="subscript"/>
              </w:rPr>
              <w:t>3</w:t>
            </w:r>
            <w:r>
              <w:rPr>
                <w:rFonts w:hint="eastAsia" w:ascii="宋体" w:hAnsi="宋体" w:eastAsia="宋体" w:cs="宋体"/>
                <w:sz w:val="18"/>
                <w:szCs w:val="18"/>
              </w:rPr>
              <w:t>COO)</w:t>
            </w:r>
            <w:r>
              <w:rPr>
                <w:rFonts w:hint="eastAsia" w:ascii="宋体" w:hAnsi="宋体" w:eastAsia="宋体" w:cs="宋体"/>
                <w:sz w:val="18"/>
                <w:szCs w:val="18"/>
                <w:vertAlign w:val="superscript"/>
              </w:rPr>
              <w:t>2</w:t>
            </w:r>
            <w:r>
              <w:rPr>
                <w:rFonts w:hint="eastAsia" w:ascii="宋体" w:hAnsi="宋体" w:eastAsia="宋体" w:cs="宋体"/>
                <w:sz w:val="18"/>
                <w:szCs w:val="18"/>
              </w:rPr>
              <w:t>Pb</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301-04-2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"生殖毒性,类别1A 特异性靶器官毒性-反复接触,类别2* 危害水生环境-急性危害,类别1 危害水生环境-长期危害,类别1"</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101</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硼酸</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w:t>
            </w:r>
            <w:r>
              <w:rPr>
                <w:rFonts w:hint="eastAsia" w:ascii="宋体" w:hAnsi="宋体" w:eastAsia="宋体" w:cs="宋体"/>
                <w:sz w:val="18"/>
                <w:szCs w:val="18"/>
                <w:vertAlign w:val="subscript"/>
              </w:rPr>
              <w:t>3</w:t>
            </w:r>
            <w:r>
              <w:rPr>
                <w:rFonts w:hint="eastAsia" w:ascii="宋体" w:hAnsi="宋体" w:eastAsia="宋体" w:cs="宋体"/>
                <w:sz w:val="18"/>
                <w:szCs w:val="18"/>
              </w:rPr>
              <w:t>BO</w:t>
            </w:r>
            <w:r>
              <w:rPr>
                <w:rFonts w:hint="eastAsia" w:ascii="宋体" w:hAnsi="宋体" w:eastAsia="宋体" w:cs="宋体"/>
                <w:sz w:val="18"/>
                <w:szCs w:val="18"/>
                <w:vertAlign w:val="subscript"/>
              </w:rPr>
              <w:t>3</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10043-35-3</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生殖毒性类别1B</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1瓶*500g</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试剂室试剂柜</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102</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乙炔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C</w:t>
            </w:r>
            <w:r>
              <w:rPr>
                <w:rFonts w:hint="eastAsia" w:ascii="宋体" w:hAnsi="宋体" w:eastAsia="宋体" w:cs="宋体"/>
                <w:sz w:val="18"/>
                <w:szCs w:val="18"/>
                <w:vertAlign w:val="subscript"/>
              </w:rPr>
              <w:t>2</w:t>
            </w:r>
            <w:r>
              <w:rPr>
                <w:rFonts w:hint="eastAsia" w:ascii="宋体" w:hAnsi="宋体" w:eastAsia="宋体" w:cs="宋体"/>
                <w:sz w:val="18"/>
                <w:szCs w:val="18"/>
              </w:rPr>
              <w:t>H</w:t>
            </w:r>
            <w:r>
              <w:rPr>
                <w:rFonts w:hint="eastAsia" w:ascii="宋体" w:hAnsi="宋体" w:eastAsia="宋体" w:cs="宋体"/>
                <w:sz w:val="18"/>
                <w:szCs w:val="18"/>
                <w:vertAlign w:val="subscript"/>
              </w:rPr>
              <w:t>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74-86-2</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"易燃气体,类别1 化学不稳定性气体,类别A 加压气体"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1瓶*40L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气瓶间</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气瓶间乙炔室</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103</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氦气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He</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7440-59-7</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加压气体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10瓶*40L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气瓶间</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气瓶间氦气室</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104</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氮气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N</w:t>
            </w:r>
            <w:r>
              <w:rPr>
                <w:rFonts w:hint="eastAsia" w:ascii="宋体" w:hAnsi="宋体" w:eastAsia="宋体" w:cs="宋体"/>
                <w:sz w:val="18"/>
                <w:szCs w:val="18"/>
                <w:vertAlign w:val="subscript"/>
              </w:rPr>
              <w:t>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7727-37-9</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加压气体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9瓶*40L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气瓶间</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气瓶间氮气室</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r>
        <w:tblPrEx>
          <w:tblCellMar>
            <w:top w:w="0" w:type="dxa"/>
            <w:left w:w="108" w:type="dxa"/>
            <w:bottom w:w="0" w:type="dxa"/>
            <w:right w:w="108" w:type="dxa"/>
          </w:tblCellMar>
        </w:tblPrEx>
        <w:trPr>
          <w:trHeight w:val="450" w:hRule="atLeast"/>
          <w:jc w:val="center"/>
        </w:trPr>
        <w:tc>
          <w:tcPr>
            <w:tcW w:w="180"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105</w:t>
            </w:r>
          </w:p>
        </w:tc>
        <w:tc>
          <w:tcPr>
            <w:tcW w:w="2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eastAsia="zh-CN"/>
              </w:rPr>
            </w:pPr>
            <w:r>
              <w:rPr>
                <w:rFonts w:hint="eastAsia" w:ascii="宋体" w:hAnsi="宋体" w:cs="宋体"/>
                <w:sz w:val="18"/>
                <w:szCs w:val="18"/>
                <w:lang w:eastAsia="zh-CN"/>
              </w:rPr>
              <w:t>质量检验中心</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氢气</w:t>
            </w:r>
          </w:p>
        </w:tc>
        <w:tc>
          <w:tcPr>
            <w:tcW w:w="32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w:t>
            </w:r>
            <w:r>
              <w:rPr>
                <w:rFonts w:hint="eastAsia" w:ascii="宋体" w:hAnsi="宋体" w:eastAsia="宋体" w:cs="宋体"/>
                <w:sz w:val="18"/>
                <w:szCs w:val="18"/>
                <w:vertAlign w:val="subscript"/>
                <w:lang w:val="en-US" w:eastAsia="zh-CN"/>
              </w:rPr>
              <w:t>2</w:t>
            </w:r>
          </w:p>
        </w:tc>
        <w:tc>
          <w:tcPr>
            <w:tcW w:w="33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1333-74-0</w:t>
            </w:r>
          </w:p>
        </w:tc>
        <w:tc>
          <w:tcPr>
            <w:tcW w:w="104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"易燃气体,类别1 加压气体"</w:t>
            </w:r>
          </w:p>
        </w:tc>
        <w:tc>
          <w:tcPr>
            <w:tcW w:w="460"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试剂</w:t>
            </w:r>
          </w:p>
        </w:tc>
        <w:tc>
          <w:tcPr>
            <w:tcW w:w="61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14瓶*40L</w:t>
            </w:r>
          </w:p>
        </w:tc>
        <w:tc>
          <w:tcPr>
            <w:tcW w:w="65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气瓶间</w:t>
            </w:r>
          </w:p>
        </w:tc>
        <w:tc>
          <w:tcPr>
            <w:tcW w:w="50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气瓶间氢气室</w:t>
            </w:r>
          </w:p>
        </w:tc>
        <w:tc>
          <w:tcPr>
            <w:tcW w:w="323"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宋体" w:hAnsi="宋体" w:eastAsia="宋体" w:cs="宋体"/>
                <w:sz w:val="18"/>
                <w:szCs w:val="18"/>
              </w:rPr>
            </w:pPr>
            <w:r>
              <w:rPr>
                <w:rFonts w:hint="eastAsia" w:ascii="宋体" w:hAnsi="宋体" w:eastAsia="宋体" w:cs="宋体"/>
                <w:sz w:val="18"/>
                <w:szCs w:val="18"/>
              </w:rPr>
              <w:t>玻璃瓶装</w:t>
            </w:r>
          </w:p>
        </w:tc>
      </w:tr>
    </w:tbl>
    <w:p>
      <w:pPr>
        <w:pStyle w:val="12"/>
        <w:rPr>
          <w:rFonts w:hint="default"/>
        </w:rPr>
      </w:pPr>
    </w:p>
    <w:p>
      <w:pPr>
        <w:pStyle w:val="12"/>
        <w:rPr>
          <w:rFonts w:hint="eastAsia"/>
          <w:lang w:val="en-US" w:eastAsia="zh-CN"/>
        </w:rPr>
        <w:sectPr>
          <w:pgSz w:w="16838" w:h="11906" w:orient="landscape"/>
          <w:pgMar w:top="1701" w:right="1440" w:bottom="1134" w:left="1440" w:header="851" w:footer="567" w:gutter="0"/>
          <w:pgBorders w:offsetFrom="page">
            <w:top w:val="none" w:sz="0" w:space="0"/>
            <w:left w:val="none" w:sz="0" w:space="0"/>
            <w:bottom w:val="none" w:sz="0" w:space="0"/>
            <w:right w:val="none" w:sz="0" w:space="0"/>
          </w:pgBorders>
          <w:pgNumType w:fmt="decimal"/>
          <w:cols w:space="720" w:num="1"/>
          <w:docGrid w:type="linesAndChars" w:linePitch="312" w:charSpace="0"/>
        </w:sectPr>
      </w:pPr>
    </w:p>
    <w:p>
      <w:pPr>
        <w:spacing w:line="500" w:lineRule="exact"/>
        <w:ind w:left="0" w:firstLine="512" w:firstLineChars="200"/>
        <w:rPr>
          <w:rFonts w:hint="default" w:ascii="Times New Roman" w:hAnsi="Times New Roman" w:eastAsia="宋体" w:cs="Times New Roman"/>
          <w:sz w:val="24"/>
          <w:lang w:val="en-US" w:eastAsia="zh-CN"/>
        </w:rPr>
      </w:pPr>
      <w:bookmarkStart w:id="194" w:name="_Toc11088"/>
      <w:bookmarkStart w:id="195" w:name="_Toc25220"/>
      <w:bookmarkStart w:id="196" w:name="_Toc17295"/>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2</w:t>
      </w:r>
      <w:r>
        <w:rPr>
          <w:rFonts w:hint="eastAsia" w:ascii="Times New Roman" w:hAnsi="Times New Roman" w:eastAsia="宋体" w:cs="Times New Roman"/>
          <w:sz w:val="24"/>
          <w:lang w:eastAsia="zh-CN"/>
        </w:rPr>
        <w:t>）</w:t>
      </w:r>
      <w:r>
        <w:rPr>
          <w:rFonts w:hint="eastAsia" w:ascii="Times New Roman" w:hAnsi="Times New Roman" w:eastAsia="宋体" w:cs="Times New Roman"/>
          <w:sz w:val="24"/>
          <w:lang w:val="en-US" w:eastAsia="zh-CN"/>
        </w:rPr>
        <w:t>环境风险物质识别</w:t>
      </w:r>
    </w:p>
    <w:p>
      <w:pPr>
        <w:keepNext w:val="0"/>
        <w:keepLines w:val="0"/>
        <w:pageBreakBefore w:val="0"/>
        <w:widowControl w:val="0"/>
        <w:kinsoku/>
        <w:wordWrap/>
        <w:overflowPunct/>
        <w:topLinePunct w:val="0"/>
        <w:autoSpaceDE/>
        <w:autoSpaceDN/>
        <w:bidi w:val="0"/>
        <w:adjustRightInd/>
        <w:snapToGrid/>
        <w:spacing w:line="560" w:lineRule="exact"/>
        <w:ind w:firstLine="512" w:firstLineChars="200"/>
        <w:textAlignment w:val="auto"/>
        <w:rPr>
          <w:rFonts w:hint="default" w:ascii="Times New Roman" w:hAnsi="Times New Roman" w:eastAsia="宋体" w:cs="Times New Roman"/>
          <w:sz w:val="24"/>
          <w:lang w:val="en-US" w:eastAsia="zh-CN"/>
        </w:rPr>
      </w:pPr>
      <w:r>
        <w:rPr>
          <w:rFonts w:hint="default" w:ascii="Times New Roman" w:hAnsi="Times New Roman" w:cs="Times New Roman"/>
          <w:sz w:val="24"/>
        </w:rPr>
        <w:t>根据《企业突发环境事件风险分级方法》（HJ941-2018）</w:t>
      </w:r>
      <w:r>
        <w:rPr>
          <w:rFonts w:hint="default" w:ascii="Times New Roman" w:hAnsi="Times New Roman" w:eastAsia="宋体" w:cs="Times New Roman"/>
          <w:sz w:val="24"/>
        </w:rPr>
        <w:t>附录A，</w:t>
      </w:r>
      <w:r>
        <w:rPr>
          <w:rFonts w:hint="eastAsia" w:ascii="Times New Roman" w:hAnsi="Times New Roman" w:eastAsia="宋体" w:cs="Times New Roman"/>
          <w:sz w:val="24"/>
          <w:lang w:val="en-US" w:eastAsia="zh-CN"/>
        </w:rPr>
        <w:t>对照企业原辅材料、产品、中间产品清单，</w:t>
      </w:r>
      <w:r>
        <w:rPr>
          <w:rFonts w:hint="default" w:ascii="Times New Roman" w:hAnsi="Times New Roman" w:eastAsia="宋体" w:cs="Times New Roman"/>
          <w:sz w:val="24"/>
        </w:rPr>
        <w:t>可以识别出危险物质是原油、汽油、氢气、苯、硫化氢、氨等，生产涉及物料中的原油、石脑油、汽油、煤油等属易燃液体，氢气、液化石脑油、丙烯、天然气等属于易燃气体。生产涉及物料中的苯属有毒物质，硫化氢有毒物质，具有较高的毒性；甲醇、MTBE属有毒物质。</w:t>
      </w:r>
      <w:r>
        <w:rPr>
          <w:rFonts w:hint="eastAsia" w:ascii="Times New Roman" w:hAnsi="Times New Roman" w:eastAsia="宋体" w:cs="Times New Roman"/>
          <w:sz w:val="24"/>
          <w:lang w:val="en-US" w:eastAsia="zh-CN"/>
        </w:rPr>
        <w:t>具体环境风险物质情况如下：</w:t>
      </w:r>
    </w:p>
    <w:p>
      <w:pPr>
        <w:bidi w:val="0"/>
        <w:rPr>
          <w:rFonts w:hint="eastAsia"/>
          <w:lang w:val="en-US" w:eastAsia="zh-CN"/>
        </w:rPr>
        <w:sectPr>
          <w:pgSz w:w="11850" w:h="16783"/>
          <w:pgMar w:top="1440" w:right="1800" w:bottom="1440" w:left="1800" w:header="851" w:footer="964" w:gutter="0"/>
          <w:pgBorders w:offsetFrom="page">
            <w:top w:val="none" w:sz="0" w:space="0"/>
            <w:left w:val="none" w:sz="0" w:space="0"/>
            <w:bottom w:val="none" w:sz="0" w:space="0"/>
            <w:right w:val="none" w:sz="0" w:space="0"/>
          </w:pgBorders>
          <w:pgNumType w:fmt="decimal"/>
          <w:cols w:space="720" w:num="1"/>
          <w:docGrid w:type="linesAndChars" w:linePitch="466" w:charSpace="3430"/>
        </w:sectPr>
      </w:pPr>
    </w:p>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b/>
          <w:sz w:val="24"/>
        </w:rPr>
      </w:pPr>
      <w:r>
        <w:rPr>
          <w:rFonts w:hint="default" w:ascii="Times New Roman" w:hAnsi="Times New Roman" w:eastAsia="宋体" w:cs="Times New Roman"/>
          <w:b/>
          <w:bCs/>
          <w:sz w:val="24"/>
          <w:szCs w:val="24"/>
        </w:rPr>
        <w:t>表</w:t>
      </w:r>
      <w:r>
        <w:rPr>
          <w:rFonts w:hint="default" w:ascii="Times New Roman" w:hAnsi="Times New Roman" w:eastAsia="宋体" w:cs="Times New Roman"/>
          <w:b/>
          <w:bCs/>
          <w:sz w:val="24"/>
          <w:szCs w:val="24"/>
          <w:lang w:val="en-US" w:eastAsia="zh-CN"/>
        </w:rPr>
        <w:t>3.</w:t>
      </w:r>
      <w:r>
        <w:rPr>
          <w:rFonts w:hint="eastAsia" w:ascii="Times New Roman" w:hAnsi="Times New Roman" w:eastAsia="宋体" w:cs="Times New Roman"/>
          <w:b/>
          <w:bCs/>
          <w:sz w:val="24"/>
          <w:szCs w:val="24"/>
          <w:lang w:val="en-US" w:eastAsia="zh-CN"/>
        </w:rPr>
        <w:t>5</w:t>
      </w:r>
      <w:r>
        <w:rPr>
          <w:rFonts w:hint="default" w:ascii="Times New Roman" w:hAnsi="Times New Roman" w:eastAsia="宋体" w:cs="Times New Roman"/>
          <w:b/>
          <w:bCs/>
          <w:sz w:val="24"/>
          <w:szCs w:val="24"/>
          <w:lang w:val="en-US" w:eastAsia="zh-CN"/>
        </w:rPr>
        <w:t>-</w:t>
      </w:r>
      <w:r>
        <w:rPr>
          <w:rFonts w:hint="eastAsia" w:ascii="Times New Roman" w:hAnsi="Times New Roman" w:eastAsia="宋体" w:cs="Times New Roman"/>
          <w:b/>
          <w:bCs/>
          <w:sz w:val="24"/>
          <w:szCs w:val="24"/>
          <w:lang w:val="en-US" w:eastAsia="zh-CN"/>
        </w:rPr>
        <w:t>2</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 xml:space="preserve">  </w:t>
      </w:r>
      <w:r>
        <w:rPr>
          <w:rFonts w:hint="eastAsia"/>
          <w:b/>
          <w:sz w:val="24"/>
        </w:rPr>
        <w:t>呼和浩特石化公司</w:t>
      </w:r>
      <w:r>
        <w:rPr>
          <w:rFonts w:hint="eastAsia"/>
          <w:b/>
          <w:sz w:val="24"/>
          <w:lang w:val="en-US" w:eastAsia="zh-CN"/>
        </w:rPr>
        <w:t>环境风险物质</w:t>
      </w:r>
      <w:r>
        <w:rPr>
          <w:rFonts w:hint="eastAsia"/>
          <w:b/>
          <w:sz w:val="24"/>
        </w:rPr>
        <w:t>清单</w:t>
      </w:r>
    </w:p>
    <w:tbl>
      <w:tblPr>
        <w:tblStyle w:val="21"/>
        <w:tblW w:w="4997" w:type="pct"/>
        <w:jc w:val="center"/>
        <w:tblLayout w:type="autofit"/>
        <w:tblCellMar>
          <w:top w:w="0" w:type="dxa"/>
          <w:left w:w="108" w:type="dxa"/>
          <w:bottom w:w="0" w:type="dxa"/>
          <w:right w:w="108" w:type="dxa"/>
        </w:tblCellMar>
      </w:tblPr>
      <w:tblGrid>
        <w:gridCol w:w="585"/>
        <w:gridCol w:w="1401"/>
        <w:gridCol w:w="1339"/>
        <w:gridCol w:w="2051"/>
        <w:gridCol w:w="1768"/>
        <w:gridCol w:w="2848"/>
        <w:gridCol w:w="966"/>
        <w:gridCol w:w="2254"/>
        <w:gridCol w:w="899"/>
      </w:tblGrid>
      <w:tr>
        <w:tblPrEx>
          <w:tblCellMar>
            <w:top w:w="0" w:type="dxa"/>
            <w:left w:w="108" w:type="dxa"/>
            <w:bottom w:w="0" w:type="dxa"/>
            <w:right w:w="108" w:type="dxa"/>
          </w:tblCellMar>
        </w:tblPrEx>
        <w:trPr>
          <w:trHeight w:val="227" w:hRule="atLeast"/>
          <w:jc w:val="center"/>
        </w:trPr>
        <w:tc>
          <w:tcPr>
            <w:tcW w:w="20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序号</w:t>
            </w:r>
          </w:p>
        </w:tc>
        <w:tc>
          <w:tcPr>
            <w:tcW w:w="496"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属地单位</w:t>
            </w:r>
          </w:p>
        </w:tc>
        <w:tc>
          <w:tcPr>
            <w:tcW w:w="474"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危险化学品名称</w:t>
            </w:r>
          </w:p>
        </w:tc>
        <w:tc>
          <w:tcPr>
            <w:tcW w:w="726"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组成</w:t>
            </w:r>
          </w:p>
        </w:tc>
        <w:tc>
          <w:tcPr>
            <w:tcW w:w="626"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分类（采购、中间产品、生产成品）</w:t>
            </w:r>
          </w:p>
        </w:tc>
        <w:tc>
          <w:tcPr>
            <w:tcW w:w="1008"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存储数量/质量</w:t>
            </w:r>
          </w:p>
        </w:tc>
        <w:tc>
          <w:tcPr>
            <w:tcW w:w="342"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临界量（t）</w:t>
            </w:r>
          </w:p>
        </w:tc>
        <w:tc>
          <w:tcPr>
            <w:tcW w:w="798"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存储区域</w:t>
            </w:r>
          </w:p>
        </w:tc>
        <w:tc>
          <w:tcPr>
            <w:tcW w:w="318" w:type="pct"/>
            <w:tcBorders>
              <w:top w:val="single" w:color="auto" w:sz="4" w:space="0"/>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包装</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类别</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苯</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纯苯</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生产</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4×500m³/1680t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汽油组分一罐区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甲基和羟基</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w:t>
            </w:r>
            <w:r>
              <w:rPr>
                <w:rFonts w:hint="default" w:ascii="Times New Roman" w:hAnsi="Times New Roman" w:eastAsia="宋体" w:cs="Times New Roman"/>
                <w:sz w:val="18"/>
                <w:szCs w:val="18"/>
                <w:lang w:val="en-US" w:eastAsia="zh-CN"/>
              </w:rPr>
              <w:t>10</w:t>
            </w:r>
            <w:r>
              <w:rPr>
                <w:rFonts w:hint="default" w:ascii="Times New Roman" w:hAnsi="Times New Roman" w:eastAsia="宋体" w:cs="Times New Roman"/>
                <w:sz w:val="18"/>
                <w:szCs w:val="18"/>
              </w:rPr>
              <w:t>00m³/1236t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重整柴油加氢原料罐区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液化石油气</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3</w:t>
            </w: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4</w:t>
            </w:r>
            <w:r>
              <w:rPr>
                <w:rFonts w:hint="default" w:ascii="Times New Roman" w:hAnsi="Times New Roman" w:eastAsia="宋体" w:cs="Times New Roman"/>
                <w:sz w:val="18"/>
                <w:szCs w:val="18"/>
              </w:rPr>
              <w:t>烃类组分（丙烯、异丁烷、丙烷、正丁烷及丁烯类）</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6×3000m³/5700t</w:t>
            </w:r>
            <w:r>
              <w:rPr>
                <w:rFonts w:hint="default" w:ascii="Times New Roman" w:hAnsi="Times New Roman" w:eastAsia="宋体" w:cs="Times New Roman"/>
                <w:sz w:val="18"/>
                <w:szCs w:val="18"/>
                <w:lang w:eastAsia="zh-CN"/>
              </w:rPr>
              <w:t>；</w:t>
            </w:r>
            <w:r>
              <w:rPr>
                <w:rFonts w:hint="default" w:ascii="Times New Roman" w:hAnsi="Times New Roman" w:eastAsia="宋体" w:cs="Times New Roman"/>
                <w:sz w:val="18"/>
                <w:szCs w:val="18"/>
              </w:rPr>
              <w:t>2×2000m³/1900t</w:t>
            </w:r>
            <w:r>
              <w:rPr>
                <w:rFonts w:hint="default" w:ascii="Times New Roman" w:hAnsi="Times New Roman" w:eastAsia="宋体" w:cs="Times New Roman"/>
                <w:sz w:val="18"/>
                <w:szCs w:val="18"/>
                <w:lang w:eastAsia="zh-CN"/>
              </w:rPr>
              <w:t>；</w:t>
            </w:r>
            <w:r>
              <w:rPr>
                <w:rFonts w:hint="default" w:ascii="Times New Roman" w:hAnsi="Times New Roman" w:eastAsia="宋体" w:cs="Times New Roman"/>
                <w:sz w:val="18"/>
                <w:szCs w:val="18"/>
              </w:rPr>
              <w:t>2×1000m³/980t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液化气罐区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4具×2000m³/3542t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丙烷丙烯罐区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w:t>
            </w:r>
            <w:r>
              <w:rPr>
                <w:rFonts w:hint="default" w:ascii="Times New Roman" w:hAnsi="Times New Roman" w:eastAsia="宋体" w:cs="Times New Roman"/>
                <w:sz w:val="18"/>
                <w:szCs w:val="18"/>
              </w:rPr>
              <w:br w:type="textWrapping"/>
            </w:r>
            <w:r>
              <w:rPr>
                <w:rFonts w:hint="default" w:ascii="Times New Roman" w:hAnsi="Times New Roman" w:eastAsia="宋体" w:cs="Times New Roman"/>
                <w:sz w:val="18"/>
                <w:szCs w:val="18"/>
              </w:rPr>
              <w:t>其他烃类</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生产</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2具×2000m³/1724t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丙烷丙烯罐区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干气</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br w:type="textWrapping"/>
            </w:r>
            <w:r>
              <w:rPr>
                <w:rFonts w:hint="default" w:ascii="Times New Roman" w:hAnsi="Times New Roman" w:eastAsia="宋体" w:cs="Times New Roman"/>
                <w:sz w:val="18"/>
                <w:szCs w:val="18"/>
              </w:rPr>
              <w:t>C1—C3</w:t>
            </w:r>
            <w:r>
              <w:rPr>
                <w:rFonts w:hint="default" w:ascii="Times New Roman" w:hAnsi="Times New Roman" w:eastAsia="宋体" w:cs="Times New Roman"/>
                <w:sz w:val="18"/>
                <w:szCs w:val="18"/>
              </w:rPr>
              <w:br w:type="textWrapping"/>
            </w:r>
            <w:r>
              <w:rPr>
                <w:rFonts w:hint="default" w:ascii="Times New Roman" w:hAnsi="Times New Roman" w:eastAsia="宋体" w:cs="Times New Roman"/>
                <w:sz w:val="18"/>
                <w:szCs w:val="18"/>
              </w:rPr>
              <w:t>N</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br w:type="textWrapping"/>
            </w:r>
            <w:r>
              <w:rPr>
                <w:rFonts w:hint="default" w:ascii="Times New Roman" w:hAnsi="Times New Roman" w:eastAsia="宋体" w:cs="Times New Roman"/>
                <w:sz w:val="18"/>
                <w:szCs w:val="18"/>
              </w:rPr>
              <w:t>其他</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6具×3000m³/5700t；</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2具×2000m³/1900t；</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2具×1000m³/980t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液化气罐区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瓦斯</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甲烷</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1具×20000m³/17000t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可燃气回收设施</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8</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甲基叔丁基醚</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甲基叔丁基醚</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5×500m³具/650t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汽油组分一罐区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9</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汽油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4</w:t>
            </w: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12</w:t>
            </w:r>
            <w:r>
              <w:rPr>
                <w:rFonts w:hint="default" w:ascii="Times New Roman" w:hAnsi="Times New Roman" w:eastAsia="宋体" w:cs="Times New Roman"/>
                <w:sz w:val="18"/>
                <w:szCs w:val="18"/>
              </w:rPr>
              <w:t>的烃类</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原料、中间产品、生产成品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3000m³×2/4080t;</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2000m³×5/6800t；5000m³×6/21420t；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汽油组分一罐区、汽油组分二罐区、汽油组分三罐区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石脑油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4</w:t>
            </w: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12</w:t>
            </w:r>
            <w:r>
              <w:rPr>
                <w:rFonts w:hint="default" w:ascii="Times New Roman" w:hAnsi="Times New Roman" w:eastAsia="宋体" w:cs="Times New Roman"/>
                <w:sz w:val="18"/>
                <w:szCs w:val="18"/>
              </w:rPr>
              <w:t>烃类混合物</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3000m³×2/2451t；5000m³×4/12257t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重整柴油加氢原料罐区、汽油组分二罐区、汽油组分三罐区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11</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燃料油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燃料油</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原料、中间产品、生产成品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10000m³×2/17000t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重油罐区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12</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92号</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汽油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4</w:t>
            </w: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11</w:t>
            </w:r>
            <w:r>
              <w:rPr>
                <w:rFonts w:hint="default" w:ascii="Times New Roman" w:hAnsi="Times New Roman" w:eastAsia="宋体" w:cs="Times New Roman"/>
                <w:sz w:val="18"/>
                <w:szCs w:val="18"/>
              </w:rPr>
              <w:t>石油烃类混合物</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生产</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10000m³×5/31280t、9000m³×1/5645t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成品汽油罐区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13</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95号</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汽油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4</w:t>
            </w: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11</w:t>
            </w:r>
            <w:r>
              <w:rPr>
                <w:rFonts w:hint="default" w:ascii="Times New Roman" w:hAnsi="Times New Roman" w:eastAsia="宋体" w:cs="Times New Roman"/>
                <w:sz w:val="18"/>
                <w:szCs w:val="18"/>
              </w:rPr>
              <w:t>石油烃类混合物</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生产</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9000m³×3/17171t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成品汽油罐区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14</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航空</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煤油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煤油</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原料、中间产品、生产成品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1000m³×1/665t；3000m³×3/6100t；10000m³×2/13362t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重整加氢罐区、柴油组分罐区、成品汽油罐区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柴油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柴油</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原料、中间产品、生产成品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20000m³×8/112880t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重整加氢罐区、直馏柴油罐区、柴油组分罐区、成品柴油罐区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16</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油品部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原油</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原料</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30000m³×2/43700t</w:t>
            </w:r>
            <w:r>
              <w:rPr>
                <w:rFonts w:hint="default" w:ascii="Times New Roman" w:hAnsi="Times New Roman" w:eastAsia="宋体" w:cs="Times New Roman"/>
                <w:sz w:val="18"/>
                <w:szCs w:val="18"/>
                <w:lang w:eastAsia="zh-CN"/>
              </w:rPr>
              <w:t>；</w:t>
            </w:r>
            <w:r>
              <w:rPr>
                <w:rFonts w:hint="default" w:ascii="Times New Roman" w:hAnsi="Times New Roman" w:eastAsia="宋体" w:cs="Times New Roman"/>
                <w:sz w:val="18"/>
                <w:szCs w:val="18"/>
              </w:rPr>
              <w:t>100000m³×4/28713</w:t>
            </w:r>
            <w:r>
              <w:rPr>
                <w:rFonts w:hint="default" w:ascii="Times New Roman" w:hAnsi="Times New Roman" w:eastAsia="宋体" w:cs="Times New Roman"/>
                <w:sz w:val="18"/>
                <w:szCs w:val="18"/>
                <w:lang w:val="en-US" w:eastAsia="zh-CN"/>
              </w:rPr>
              <w:t>0</w:t>
            </w:r>
            <w:r>
              <w:rPr>
                <w:rFonts w:hint="default" w:ascii="Times New Roman" w:hAnsi="Times New Roman" w:eastAsia="宋体" w:cs="Times New Roman"/>
                <w:sz w:val="18"/>
                <w:szCs w:val="18"/>
              </w:rPr>
              <w:t>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三万立原油罐区、十万立原油罐区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储罐</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氨</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NH</w:t>
            </w:r>
            <w:r>
              <w:rPr>
                <w:rFonts w:hint="default" w:ascii="Times New Roman" w:hAnsi="Times New Roman" w:eastAsia="宋体" w:cs="Times New Roman"/>
                <w:sz w:val="18"/>
                <w:szCs w:val="18"/>
                <w:vertAlign w:val="subscript"/>
              </w:rPr>
              <w:t>3</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1.12吨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18</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529.08吨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19</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石脑油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95.16吨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煤油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52.44吨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21</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氢气和甲烷混合物［压缩的］</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氢气、甲烷混合物</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14.28吨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22</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液化气</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3</w:t>
            </w: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4</w:t>
            </w:r>
            <w:r>
              <w:rPr>
                <w:rFonts w:hint="default" w:ascii="Times New Roman" w:hAnsi="Times New Roman" w:eastAsia="宋体" w:cs="Times New Roman"/>
                <w:sz w:val="18"/>
                <w:szCs w:val="18"/>
              </w:rPr>
              <w:t>烃类组分（丙烯、异丁烷、丙烷、正丁烷及丁烯类）</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333吨、63.4吨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23</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汽油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942吨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24</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188吨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丙烷（＞70%）</w:t>
            </w:r>
            <w:r>
              <w:rPr>
                <w:rFonts w:hint="default" w:ascii="Times New Roman" w:hAnsi="Times New Roman" w:eastAsia="宋体" w:cs="Times New Roman"/>
                <w:sz w:val="18"/>
                <w:szCs w:val="18"/>
              </w:rPr>
              <w:br w:type="textWrapping"/>
            </w:r>
            <w:r>
              <w:rPr>
                <w:rFonts w:hint="default" w:ascii="Times New Roman" w:hAnsi="Times New Roman" w:eastAsia="宋体" w:cs="Times New Roman"/>
                <w:sz w:val="18"/>
                <w:szCs w:val="18"/>
              </w:rPr>
              <w:t>其他烃类（&lt;30%）</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133吨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26</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63.4吨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27</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炼油一部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甲基叔丁基醚</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甲基叔丁基醚</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生产</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45.1吨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28</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公用工程部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次氯酸钠溶液[含有效氯</w:t>
            </w:r>
            <w:r>
              <w:rPr>
                <w:rFonts w:hint="default" w:ascii="Times New Roman" w:hAnsi="Times New Roman" w:eastAsia="宋体" w:cs="Times New Roman"/>
                <w:sz w:val="18"/>
                <w:szCs w:val="18"/>
              </w:rPr>
              <w:br w:type="textWrapping"/>
            </w:r>
            <w:r>
              <w:rPr>
                <w:rFonts w:hint="default" w:ascii="Times New Roman" w:hAnsi="Times New Roman" w:eastAsia="宋体" w:cs="Times New Roman"/>
                <w:sz w:val="18"/>
                <w:szCs w:val="18"/>
              </w:rPr>
              <w:t>＞5%]</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NaC</w:t>
            </w:r>
            <w:r>
              <w:rPr>
                <w:rFonts w:hint="default" w:ascii="Times New Roman" w:hAnsi="Times New Roman" w:eastAsia="宋体" w:cs="Times New Roman"/>
                <w:sz w:val="18"/>
                <w:szCs w:val="18"/>
                <w:vertAlign w:val="subscript"/>
              </w:rPr>
              <w:t>lO</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除盐水站：2吨</w:t>
            </w:r>
            <w:r>
              <w:rPr>
                <w:rFonts w:hint="default" w:ascii="Times New Roman" w:hAnsi="Times New Roman" w:eastAsia="宋体" w:cs="Times New Roman"/>
                <w:sz w:val="18"/>
                <w:szCs w:val="18"/>
              </w:rPr>
              <w:br w:type="textWrapping"/>
            </w:r>
            <w:r>
              <w:rPr>
                <w:rFonts w:hint="default" w:ascii="Times New Roman" w:hAnsi="Times New Roman" w:eastAsia="宋体" w:cs="Times New Roman"/>
                <w:sz w:val="18"/>
                <w:szCs w:val="18"/>
              </w:rPr>
              <w:t>污水处理场：2吨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除盐水站和污水处理场加药间</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29</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公用工程部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硫酸</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SO</w:t>
            </w:r>
            <w:r>
              <w:rPr>
                <w:rFonts w:hint="default" w:ascii="Times New Roman" w:hAnsi="Times New Roman" w:eastAsia="宋体" w:cs="Times New Roman"/>
                <w:sz w:val="18"/>
                <w:szCs w:val="18"/>
                <w:vertAlign w:val="subscript"/>
              </w:rPr>
              <w:t>4</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循环水场加药间（室外罐体储存）</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30</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公用工程部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氯酸钠</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NaClO</w:t>
            </w:r>
            <w:r>
              <w:rPr>
                <w:rFonts w:hint="default" w:ascii="Times New Roman" w:hAnsi="Times New Roman" w:eastAsia="宋体" w:cs="Times New Roman"/>
                <w:sz w:val="18"/>
                <w:szCs w:val="18"/>
                <w:vertAlign w:val="subscript"/>
              </w:rPr>
              <w:t>3</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新鲜水预处理站二氧化氯间</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31</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公用工程部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盐酸</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HCl</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除盐水站：20吨</w:t>
            </w:r>
            <w:r>
              <w:rPr>
                <w:rFonts w:hint="default" w:ascii="Times New Roman" w:hAnsi="Times New Roman" w:eastAsia="宋体" w:cs="Times New Roman"/>
                <w:sz w:val="18"/>
                <w:szCs w:val="18"/>
              </w:rPr>
              <w:br w:type="page"/>
            </w:r>
            <w:r>
              <w:rPr>
                <w:rFonts w:hint="default" w:ascii="Times New Roman" w:hAnsi="Times New Roman" w:eastAsia="宋体" w:cs="Times New Roman"/>
                <w:sz w:val="18"/>
                <w:szCs w:val="18"/>
              </w:rPr>
              <w:t>污水处理场：0.5吨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7.5（37%及以上）</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除盐水站酸碱间和污水处理场加药间</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32</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液化石油气</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甲烷、乙烷、乙烯、丙烷、丙烯、丁烷、丁烯</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0.23t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重整分馏区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33</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重整分馏区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34</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氢气</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2</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4.2吨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重整装置、柴油加氢精制装置、柴油加氢改质装置、催化汽油加氢脱硫装置</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35</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汽油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4</w:t>
            </w: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11</w:t>
            </w:r>
            <w:r>
              <w:rPr>
                <w:rFonts w:hint="default" w:ascii="Times New Roman" w:hAnsi="Times New Roman" w:eastAsia="宋体" w:cs="Times New Roman"/>
                <w:sz w:val="18"/>
                <w:szCs w:val="18"/>
              </w:rPr>
              <w:t>烷烃、环烷烃、芳烃</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820t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重整装置、催化汽油加氢脱硫装置、轻汽油醚化装置</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36</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柴油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柴油</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34t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柴油加氢精制装置、柴油加氢改质装置</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37</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石脑油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石脑油</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168t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重整装置、柴油加氢精制装置分馏区、柴油加氢改质装置</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38</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煤油</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煤油</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81t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煤油加氢精制</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39</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苯</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6</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6</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40吨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苯抽提罐区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40</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74吨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轻汽油醚化装置</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41</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四氯乙烯</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四氯乙烯</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1.5t</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重整反再区泵房内</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42</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炼油二部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硫化氢</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硫化氢</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0.05</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重整装置、柴油加氢精制装置、柴油加氢改质装置、催化汽油加氢脱硫装置</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43</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炼油三部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氨</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氨</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生产</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w:t>
            </w:r>
            <w:r>
              <w:rPr>
                <w:rFonts w:hint="default" w:ascii="Times New Roman" w:hAnsi="Times New Roman" w:eastAsia="宋体" w:cs="Times New Roman"/>
                <w:sz w:val="18"/>
                <w:szCs w:val="18"/>
                <w:lang w:val="en-US" w:eastAsia="zh-CN"/>
              </w:rPr>
              <w:t>7</w:t>
            </w:r>
            <w:r>
              <w:rPr>
                <w:rFonts w:hint="default" w:ascii="Times New Roman" w:hAnsi="Times New Roman" w:eastAsia="宋体" w:cs="Times New Roman"/>
                <w:sz w:val="18"/>
                <w:szCs w:val="18"/>
              </w:rPr>
              <w:t>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氨精制单元</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44</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炼油三部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一氧化碳</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一氧化碳</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20</w:t>
            </w:r>
            <w:r>
              <w:rPr>
                <w:rFonts w:hint="default" w:ascii="Times New Roman" w:hAnsi="Times New Roman" w:eastAsia="宋体" w:cs="Times New Roman"/>
                <w:sz w:val="18"/>
                <w:szCs w:val="18"/>
                <w:lang w:val="en-US" w:eastAsia="zh-CN"/>
              </w:rPr>
              <w:t>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聚合区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45</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炼油三部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氢气</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氢气</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0.01吨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聚合区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46</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炼油三部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中间</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60吨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聚合区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47</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炼油三部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丙烯聚合高效催化剂</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四氯化钛</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采购</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80KG</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聚合区</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48</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炼油三部</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硫磺</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硫磺</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生产</w:t>
            </w:r>
          </w:p>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成品</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90吨</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硫磺回收装置</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49</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异丙醇</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3</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8</w:t>
            </w:r>
            <w:r>
              <w:rPr>
                <w:rFonts w:hint="default" w:ascii="Times New Roman" w:hAnsi="Times New Roman" w:eastAsia="宋体" w:cs="Times New Roman"/>
                <w:sz w:val="18"/>
                <w:szCs w:val="18"/>
              </w:rPr>
              <w:t>O</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26瓶*500ml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50</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无水乙醇</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6</w:t>
            </w:r>
            <w:r>
              <w:rPr>
                <w:rFonts w:hint="default" w:ascii="Times New Roman" w:hAnsi="Times New Roman" w:eastAsia="宋体" w:cs="Times New Roman"/>
                <w:sz w:val="18"/>
                <w:szCs w:val="18"/>
              </w:rPr>
              <w:t>O</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7瓶*500ml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500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51</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CH</w:t>
            </w:r>
            <w:r>
              <w:rPr>
                <w:rFonts w:hint="default" w:ascii="Times New Roman" w:hAnsi="Times New Roman" w:eastAsia="宋体" w:cs="Times New Roman"/>
                <w:sz w:val="18"/>
                <w:szCs w:val="18"/>
                <w:vertAlign w:val="subscript"/>
              </w:rPr>
              <w:t>3</w:t>
            </w:r>
            <w:r>
              <w:rPr>
                <w:rFonts w:hint="default" w:ascii="Times New Roman" w:hAnsi="Times New Roman" w:eastAsia="宋体" w:cs="Times New Roman"/>
                <w:sz w:val="18"/>
                <w:szCs w:val="18"/>
              </w:rPr>
              <w:t>OH</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12瓶*500ml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52</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无水乙醚</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5</w:t>
            </w:r>
            <w:r>
              <w:rPr>
                <w:rFonts w:hint="default" w:ascii="Times New Roman" w:hAnsi="Times New Roman" w:eastAsia="宋体" w:cs="Times New Roman"/>
                <w:sz w:val="18"/>
                <w:szCs w:val="18"/>
              </w:rPr>
              <w:t>OH</w:t>
            </w:r>
            <w:r>
              <w:rPr>
                <w:rFonts w:hint="default" w:ascii="Times New Roman" w:hAnsi="Times New Roman" w:eastAsia="宋体" w:cs="Times New Roman"/>
                <w:sz w:val="18"/>
                <w:szCs w:val="18"/>
                <w:vertAlign w:val="subscript"/>
              </w:rPr>
              <w:t>5</w:t>
            </w: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2</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53</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石油醚</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5</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12</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54</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甲基叔丁基醚</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5</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12</w:t>
            </w:r>
            <w:r>
              <w:rPr>
                <w:rFonts w:hint="default" w:ascii="Times New Roman" w:hAnsi="Times New Roman" w:eastAsia="宋体" w:cs="Times New Roman"/>
                <w:sz w:val="18"/>
                <w:szCs w:val="18"/>
              </w:rPr>
              <w:t>O</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55</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硫酸镉</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CdSO</w:t>
            </w:r>
            <w:r>
              <w:rPr>
                <w:rFonts w:hint="default" w:ascii="Times New Roman" w:hAnsi="Times New Roman" w:eastAsia="宋体" w:cs="Times New Roman"/>
                <w:sz w:val="18"/>
                <w:szCs w:val="18"/>
                <w:vertAlign w:val="subscript"/>
              </w:rPr>
              <w:t>4</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3瓶*500g</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0.25</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56</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硫酸</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SO</w:t>
            </w:r>
            <w:r>
              <w:rPr>
                <w:rFonts w:hint="default" w:ascii="Times New Roman" w:hAnsi="Times New Roman" w:eastAsia="宋体" w:cs="Times New Roman"/>
                <w:sz w:val="18"/>
                <w:szCs w:val="18"/>
                <w:vertAlign w:val="subscript"/>
              </w:rPr>
              <w:t>4</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7瓶*500ml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57</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盐酸</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HCl</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58</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硝酸</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HNO</w:t>
            </w:r>
            <w:r>
              <w:rPr>
                <w:rFonts w:hint="default" w:ascii="Times New Roman" w:hAnsi="Times New Roman" w:eastAsia="宋体" w:cs="Times New Roman"/>
                <w:sz w:val="18"/>
                <w:szCs w:val="18"/>
                <w:vertAlign w:val="subscript"/>
              </w:rPr>
              <w:t>3</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59</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氢氟酸</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HF</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60</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甲酸</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O</w:t>
            </w:r>
            <w:r>
              <w:rPr>
                <w:rFonts w:hint="default" w:ascii="Times New Roman" w:hAnsi="Times New Roman" w:eastAsia="宋体" w:cs="Times New Roman"/>
                <w:sz w:val="18"/>
                <w:szCs w:val="18"/>
                <w:vertAlign w:val="subscript"/>
              </w:rPr>
              <w:t>2</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61</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丙酮</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CH</w:t>
            </w:r>
            <w:r>
              <w:rPr>
                <w:rFonts w:hint="default" w:ascii="Times New Roman" w:hAnsi="Times New Roman" w:eastAsia="宋体" w:cs="Times New Roman"/>
                <w:sz w:val="18"/>
                <w:szCs w:val="18"/>
                <w:vertAlign w:val="subscript"/>
              </w:rPr>
              <w:t>3</w:t>
            </w:r>
            <w:r>
              <w:rPr>
                <w:rFonts w:hint="default" w:ascii="Times New Roman" w:hAnsi="Times New Roman" w:eastAsia="宋体" w:cs="Times New Roman"/>
                <w:sz w:val="18"/>
                <w:szCs w:val="18"/>
              </w:rPr>
              <w:t>COCH</w:t>
            </w:r>
            <w:r>
              <w:rPr>
                <w:rFonts w:hint="default" w:ascii="Times New Roman" w:hAnsi="Times New Roman" w:eastAsia="宋体" w:cs="Times New Roman"/>
                <w:sz w:val="18"/>
                <w:szCs w:val="18"/>
                <w:vertAlign w:val="subscript"/>
              </w:rPr>
              <w:t>3</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12瓶*500ml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62</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甲苯</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7</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8</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63</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四氯化碳</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CCl</w:t>
            </w:r>
            <w:r>
              <w:rPr>
                <w:rFonts w:hint="default" w:ascii="Times New Roman" w:hAnsi="Times New Roman" w:eastAsia="宋体" w:cs="Times New Roman"/>
                <w:sz w:val="18"/>
                <w:szCs w:val="18"/>
                <w:vertAlign w:val="subscript"/>
              </w:rPr>
              <w:t>4</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64</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丁酮</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CH</w:t>
            </w:r>
            <w:r>
              <w:rPr>
                <w:rFonts w:hint="default" w:ascii="Times New Roman" w:hAnsi="Times New Roman" w:eastAsia="宋体" w:cs="Times New Roman"/>
                <w:sz w:val="18"/>
                <w:szCs w:val="18"/>
                <w:vertAlign w:val="subscript"/>
              </w:rPr>
              <w:t>3</w:t>
            </w:r>
            <w:r>
              <w:rPr>
                <w:rFonts w:hint="default" w:ascii="Times New Roman" w:hAnsi="Times New Roman" w:eastAsia="宋体" w:cs="Times New Roman"/>
                <w:sz w:val="18"/>
                <w:szCs w:val="18"/>
              </w:rPr>
              <w:t>COCH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CH</w:t>
            </w:r>
            <w:r>
              <w:rPr>
                <w:rFonts w:hint="default" w:ascii="Times New Roman" w:hAnsi="Times New Roman" w:eastAsia="宋体" w:cs="Times New Roman"/>
                <w:sz w:val="18"/>
                <w:szCs w:val="18"/>
                <w:vertAlign w:val="subscript"/>
              </w:rPr>
              <w:t>3</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65</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正己烷</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6</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14</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66</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环己烷</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6</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12</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67</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三氯甲烷</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CHCl₃</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68</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二氯甲烷</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Cl</w:t>
            </w:r>
            <w:r>
              <w:rPr>
                <w:rFonts w:hint="default" w:ascii="Times New Roman" w:hAnsi="Times New Roman" w:eastAsia="宋体" w:cs="Times New Roman"/>
                <w:sz w:val="18"/>
                <w:szCs w:val="18"/>
                <w:vertAlign w:val="subscript"/>
              </w:rPr>
              <w:t>2</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69</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升华硫</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S</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1瓶*500g</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70</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氨水</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NH</w:t>
            </w:r>
            <w:r>
              <w:rPr>
                <w:rFonts w:hint="default" w:ascii="Times New Roman" w:hAnsi="Times New Roman" w:eastAsia="宋体" w:cs="Times New Roman"/>
                <w:sz w:val="18"/>
                <w:szCs w:val="18"/>
                <w:vertAlign w:val="subscript"/>
              </w:rPr>
              <w:t>3</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O</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4瓶*500ml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试剂室试剂柜</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71</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乙炔</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2</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1瓶*40L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气瓶间乙炔室</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r>
        <w:tblPrEx>
          <w:tblCellMar>
            <w:top w:w="0" w:type="dxa"/>
            <w:left w:w="108" w:type="dxa"/>
            <w:bottom w:w="0" w:type="dxa"/>
            <w:right w:w="108" w:type="dxa"/>
          </w:tblCellMar>
        </w:tblPrEx>
        <w:trPr>
          <w:trHeight w:val="227" w:hRule="atLeast"/>
          <w:jc w:val="center"/>
        </w:trPr>
        <w:tc>
          <w:tcPr>
            <w:tcW w:w="207" w:type="pct"/>
            <w:tcBorders>
              <w:top w:val="nil"/>
              <w:left w:val="single" w:color="auto" w:sz="4" w:space="0"/>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72</w:t>
            </w:r>
          </w:p>
        </w:tc>
        <w:tc>
          <w:tcPr>
            <w:tcW w:w="49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质量检验中心</w:t>
            </w:r>
          </w:p>
        </w:tc>
        <w:tc>
          <w:tcPr>
            <w:tcW w:w="474"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氢气</w:t>
            </w:r>
          </w:p>
        </w:tc>
        <w:tc>
          <w:tcPr>
            <w:tcW w:w="7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H</w:t>
            </w:r>
            <w:r>
              <w:rPr>
                <w:rFonts w:hint="default" w:ascii="Times New Roman" w:hAnsi="Times New Roman" w:eastAsia="宋体" w:cs="Times New Roman"/>
                <w:sz w:val="18"/>
                <w:szCs w:val="18"/>
                <w:vertAlign w:val="subscript"/>
                <w:lang w:val="en-US" w:eastAsia="zh-CN"/>
              </w:rPr>
              <w:t>2</w:t>
            </w:r>
          </w:p>
        </w:tc>
        <w:tc>
          <w:tcPr>
            <w:tcW w:w="626"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试剂</w:t>
            </w:r>
          </w:p>
        </w:tc>
        <w:tc>
          <w:tcPr>
            <w:tcW w:w="100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14瓶*40L</w:t>
            </w:r>
          </w:p>
        </w:tc>
        <w:tc>
          <w:tcPr>
            <w:tcW w:w="342"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79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气瓶间氢气室</w:t>
            </w:r>
          </w:p>
        </w:tc>
        <w:tc>
          <w:tcPr>
            <w:tcW w:w="318" w:type="pct"/>
            <w:tcBorders>
              <w:top w:val="nil"/>
              <w:left w:val="nil"/>
              <w:bottom w:val="single" w:color="auto" w:sz="4" w:space="0"/>
              <w:right w:val="single" w:color="auto" w:sz="4" w:space="0"/>
            </w:tcBorders>
            <w:shd w:val="clear" w:color="auto" w:fill="auto"/>
            <w:vAlign w:val="center"/>
          </w:tcPr>
          <w:p>
            <w:pPr>
              <w:keepNext w:val="0"/>
              <w:keepLines w:val="0"/>
              <w:suppressLineNumbers w:val="0"/>
              <w:spacing w:before="0" w:beforeAutospacing="0" w:after="0" w:afterAutospacing="0"/>
              <w:ind w:left="0" w:right="0"/>
              <w:jc w:val="left"/>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玻璃瓶装</w:t>
            </w:r>
          </w:p>
        </w:tc>
      </w:tr>
    </w:tbl>
    <w:p>
      <w:pPr>
        <w:pStyle w:val="12"/>
        <w:rPr>
          <w:rFonts w:hint="eastAsia"/>
          <w:lang w:val="en-US" w:eastAsia="zh-CN"/>
        </w:rPr>
        <w:sectPr>
          <w:pgSz w:w="16783" w:h="11850" w:orient="landscape"/>
          <w:pgMar w:top="1800" w:right="1440" w:bottom="1800" w:left="1440" w:header="851" w:footer="964" w:gutter="0"/>
          <w:pgBorders w:offsetFrom="page">
            <w:top w:val="none" w:sz="0" w:space="0"/>
            <w:left w:val="none" w:sz="0" w:space="0"/>
            <w:bottom w:val="none" w:sz="0" w:space="0"/>
            <w:right w:val="none" w:sz="0" w:space="0"/>
          </w:pgBorders>
          <w:pgNumType w:fmt="decimal"/>
          <w:cols w:space="720" w:num="1"/>
          <w:docGrid w:type="linesAndChars" w:linePitch="466" w:charSpace="3430"/>
        </w:sectPr>
      </w:pPr>
    </w:p>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eastAsia" w:ascii="Times New Roman" w:hAnsi="Times New Roman" w:eastAsia="宋体" w:cs="Times New Roman"/>
          <w:b/>
          <w:bCs/>
          <w:sz w:val="24"/>
          <w:szCs w:val="24"/>
          <w:lang w:val="en-US" w:eastAsia="zh-CN"/>
        </w:rPr>
      </w:pPr>
      <w:r>
        <w:rPr>
          <w:rFonts w:hint="default" w:ascii="Times New Roman" w:hAnsi="Times New Roman" w:eastAsia="宋体" w:cs="Times New Roman"/>
          <w:b/>
          <w:bCs/>
          <w:sz w:val="24"/>
          <w:szCs w:val="24"/>
        </w:rPr>
        <w:t>表</w:t>
      </w:r>
      <w:r>
        <w:rPr>
          <w:rFonts w:hint="default" w:ascii="Times New Roman" w:hAnsi="Times New Roman" w:eastAsia="宋体" w:cs="Times New Roman"/>
          <w:b/>
          <w:bCs/>
          <w:sz w:val="24"/>
          <w:szCs w:val="24"/>
          <w:lang w:val="en-US" w:eastAsia="zh-CN"/>
        </w:rPr>
        <w:t>3.</w:t>
      </w:r>
      <w:r>
        <w:rPr>
          <w:rFonts w:hint="eastAsia" w:ascii="Times New Roman" w:hAnsi="Times New Roman" w:eastAsia="宋体" w:cs="Times New Roman"/>
          <w:b/>
          <w:bCs/>
          <w:sz w:val="24"/>
          <w:szCs w:val="24"/>
          <w:lang w:val="en-US" w:eastAsia="zh-CN"/>
        </w:rPr>
        <w:t>5</w:t>
      </w:r>
      <w:r>
        <w:rPr>
          <w:rFonts w:hint="default" w:ascii="Times New Roman" w:hAnsi="Times New Roman" w:eastAsia="宋体" w:cs="Times New Roman"/>
          <w:b/>
          <w:bCs/>
          <w:sz w:val="24"/>
          <w:szCs w:val="24"/>
          <w:lang w:val="en-US" w:eastAsia="zh-CN"/>
        </w:rPr>
        <w:t xml:space="preserve">-3 </w:t>
      </w:r>
      <w:r>
        <w:rPr>
          <w:rFonts w:hint="eastAsia" w:ascii="Times New Roman" w:hAnsi="Times New Roman" w:eastAsia="宋体" w:cs="Times New Roman"/>
          <w:b/>
          <w:bCs/>
          <w:sz w:val="24"/>
          <w:szCs w:val="24"/>
          <w:lang w:val="en-US" w:eastAsia="zh-CN"/>
        </w:rPr>
        <w:t>环境风险物质数量与临界值比值表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1522"/>
        <w:gridCol w:w="2447"/>
        <w:gridCol w:w="1578"/>
        <w:gridCol w:w="1104"/>
        <w:gridCol w:w="11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序号</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环境风险物质</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类别</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rPr>
              <w:t>存储数量/质量</w:t>
            </w:r>
            <w:r>
              <w:rPr>
                <w:rFonts w:hint="default" w:ascii="Times New Roman" w:hAnsi="Times New Roman" w:eastAsia="宋体" w:cs="Times New Roman"/>
                <w:sz w:val="18"/>
                <w:szCs w:val="18"/>
                <w:lang w:eastAsia="zh-CN"/>
              </w:rPr>
              <w:t>（</w:t>
            </w:r>
            <w:r>
              <w:rPr>
                <w:rFonts w:hint="default" w:ascii="Times New Roman" w:hAnsi="Times New Roman" w:eastAsia="宋体" w:cs="Times New Roman"/>
                <w:sz w:val="18"/>
                <w:szCs w:val="18"/>
                <w:lang w:val="en-US" w:eastAsia="zh-CN"/>
              </w:rPr>
              <w:t>t</w:t>
            </w:r>
            <w:r>
              <w:rPr>
                <w:rFonts w:hint="default" w:ascii="Times New Roman" w:hAnsi="Times New Roman" w:eastAsia="宋体" w:cs="Times New Roman"/>
                <w:sz w:val="18"/>
                <w:szCs w:val="18"/>
                <w:lang w:eastAsia="zh-CN"/>
              </w:rPr>
              <w:t>）</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临界量（t）</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苯</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1720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1373.406</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液化石油气</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17570.91</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3790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1858</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185.8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17000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甲基叔丁基醚</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695.1025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8</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油类物质</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第八部分 其他类物质及污染物</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585339.36</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234.1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9</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氨</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第一部分 有毒气态物质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28.12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次氯酸钠</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第五部分 其他有毒物质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11</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12</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氯酸钠</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第五部分 其他有毒物质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13</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盐酸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14</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氢气</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4.</w:t>
            </w:r>
            <w:r>
              <w:rPr>
                <w:rFonts w:hint="default" w:ascii="Times New Roman" w:hAnsi="Times New Roman" w:eastAsia="宋体" w:cs="Times New Roman"/>
                <w:sz w:val="18"/>
                <w:szCs w:val="18"/>
                <w:lang w:val="en-US" w:eastAsia="zh-CN"/>
              </w:rPr>
              <w:t>77</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四氯乙烯</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16</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硫化氢</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第一部分 有毒气态物质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一氧化碳</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第一部分 有毒气态物质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20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18</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四氯化钛</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0.08</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19</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第五部分 其他有毒物质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90</w:t>
            </w:r>
            <w:r>
              <w:rPr>
                <w:rFonts w:hint="default" w:ascii="Times New Roman" w:hAnsi="Times New Roman" w:eastAsia="宋体" w:cs="Times New Roman"/>
                <w:sz w:val="18"/>
                <w:szCs w:val="18"/>
                <w:lang w:val="en-US" w:eastAsia="zh-CN"/>
              </w:rPr>
              <w:t>.0005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异丙醇</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0.013</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21</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乙醇</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0.0035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500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22</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乙醚</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23</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石油醚</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24</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硫酸镉</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第五部分 其他有毒物质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0.0015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0.0035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26</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盐酸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0.0045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27</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硝酸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28</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氢氟酸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29</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0.001</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30</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丙酮</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0.006</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31</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甲苯</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32</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四氯化碳</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0.003</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33</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丁酮</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34</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正己烷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35</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环己烷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36</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三氯甲烷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37</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二氯甲烷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38</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氨水</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39</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乙炔</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0.04</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总和</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p>
        </w:tc>
        <w:tc>
          <w:tcPr>
            <w:tcW w:w="652" w:type="pct"/>
            <w:tcBorders>
              <w:tl2br w:val="nil"/>
              <w:tr2bl w:val="nil"/>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4654.49</w:t>
            </w:r>
          </w:p>
        </w:tc>
      </w:tr>
    </w:tbl>
    <w:p>
      <w:pPr>
        <w:pStyle w:val="12"/>
        <w:rPr>
          <w:rFonts w:hint="eastAsia"/>
          <w:lang w:val="en-US" w:eastAsia="zh-CN"/>
        </w:rPr>
        <w:sectPr>
          <w:pgSz w:w="11850" w:h="16783"/>
          <w:pgMar w:top="1440" w:right="1800" w:bottom="1440" w:left="1800" w:header="851" w:footer="964" w:gutter="0"/>
          <w:pgBorders w:offsetFrom="page">
            <w:top w:val="none" w:sz="0" w:space="0"/>
            <w:left w:val="none" w:sz="0" w:space="0"/>
            <w:bottom w:val="none" w:sz="0" w:space="0"/>
            <w:right w:val="none" w:sz="0" w:space="0"/>
          </w:pgBorders>
          <w:pgNumType w:fmt="decimal"/>
          <w:cols w:space="720" w:num="1"/>
          <w:docGrid w:type="linesAndChars" w:linePitch="466" w:charSpace="3430"/>
        </w:sectPr>
      </w:pPr>
    </w:p>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bCs/>
          <w:sz w:val="24"/>
          <w:szCs w:val="24"/>
        </w:rPr>
        <w:t>表</w:t>
      </w:r>
      <w:r>
        <w:rPr>
          <w:rFonts w:hint="default" w:ascii="Times New Roman" w:hAnsi="Times New Roman" w:eastAsia="宋体" w:cs="Times New Roman"/>
          <w:b/>
          <w:bCs/>
          <w:sz w:val="24"/>
          <w:szCs w:val="24"/>
          <w:lang w:val="en-US" w:eastAsia="zh-CN"/>
        </w:rPr>
        <w:t>3.</w:t>
      </w:r>
      <w:r>
        <w:rPr>
          <w:rFonts w:hint="eastAsia" w:ascii="Times New Roman" w:hAnsi="Times New Roman" w:eastAsia="宋体" w:cs="Times New Roman"/>
          <w:b/>
          <w:bCs/>
          <w:sz w:val="24"/>
          <w:szCs w:val="24"/>
          <w:lang w:val="en-US" w:eastAsia="zh-CN"/>
        </w:rPr>
        <w:t>5</w:t>
      </w:r>
      <w:r>
        <w:rPr>
          <w:rFonts w:hint="default" w:ascii="Times New Roman" w:hAnsi="Times New Roman" w:eastAsia="宋体" w:cs="Times New Roman"/>
          <w:b/>
          <w:bCs/>
          <w:sz w:val="24"/>
          <w:szCs w:val="24"/>
          <w:lang w:val="en-US" w:eastAsia="zh-CN"/>
        </w:rPr>
        <w:t>-</w:t>
      </w:r>
      <w:r>
        <w:rPr>
          <w:rFonts w:hint="eastAsia" w:ascii="Times New Roman" w:hAnsi="Times New Roman" w:eastAsia="宋体" w:cs="Times New Roman"/>
          <w:b/>
          <w:bCs/>
          <w:sz w:val="24"/>
          <w:szCs w:val="24"/>
          <w:lang w:val="en-US" w:eastAsia="zh-CN"/>
        </w:rPr>
        <w:t>4</w:t>
      </w:r>
      <w:r>
        <w:rPr>
          <w:rFonts w:hint="default" w:ascii="Times New Roman" w:hAnsi="Times New Roman" w:eastAsia="宋体" w:cs="Times New Roman"/>
          <w:b/>
          <w:bCs/>
          <w:sz w:val="24"/>
          <w:szCs w:val="24"/>
          <w:lang w:val="en-US" w:eastAsia="zh-CN"/>
        </w:rPr>
        <w:t xml:space="preserve"> </w:t>
      </w:r>
      <w:r>
        <w:rPr>
          <w:rFonts w:hint="default" w:ascii="Times New Roman" w:hAnsi="Times New Roman" w:eastAsia="宋体" w:cs="Times New Roman"/>
          <w:b/>
          <w:bCs/>
          <w:sz w:val="24"/>
          <w:szCs w:val="24"/>
        </w:rPr>
        <w:t xml:space="preserve">  </w:t>
      </w:r>
      <w:r>
        <w:rPr>
          <w:rFonts w:hint="default" w:ascii="Times New Roman" w:hAnsi="Times New Roman" w:eastAsia="宋体" w:cs="Times New Roman"/>
          <w:b/>
          <w:sz w:val="24"/>
          <w:szCs w:val="24"/>
        </w:rPr>
        <w:t>危险化学品性质表</w:t>
      </w:r>
    </w:p>
    <w:tbl>
      <w:tblPr>
        <w:tblStyle w:val="21"/>
        <w:tblW w:w="4998" w:type="pct"/>
        <w:jc w:val="center"/>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Layout w:type="autofit"/>
        <w:tblCellMar>
          <w:top w:w="0" w:type="dxa"/>
          <w:left w:w="108" w:type="dxa"/>
          <w:bottom w:w="0" w:type="dxa"/>
          <w:right w:w="108" w:type="dxa"/>
        </w:tblCellMar>
      </w:tblPr>
      <w:tblGrid>
        <w:gridCol w:w="413"/>
        <w:gridCol w:w="938"/>
        <w:gridCol w:w="1692"/>
        <w:gridCol w:w="3364"/>
        <w:gridCol w:w="1397"/>
        <w:gridCol w:w="1003"/>
        <w:gridCol w:w="823"/>
        <w:gridCol w:w="690"/>
        <w:gridCol w:w="3182"/>
        <w:gridCol w:w="611"/>
      </w:tblGrid>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vMerge w:val="restar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序号</w:t>
            </w:r>
          </w:p>
        </w:tc>
        <w:tc>
          <w:tcPr>
            <w:tcW w:w="390" w:type="pct"/>
            <w:vMerge w:val="restar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名称</w:t>
            </w:r>
          </w:p>
        </w:tc>
        <w:tc>
          <w:tcPr>
            <w:tcW w:w="408" w:type="pct"/>
            <w:vMerge w:val="restar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危险化学品编号/化学品名录CAS</w:t>
            </w:r>
          </w:p>
        </w:tc>
        <w:tc>
          <w:tcPr>
            <w:tcW w:w="1249" w:type="pct"/>
            <w:vMerge w:val="restar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物化性质</w:t>
            </w:r>
          </w:p>
        </w:tc>
        <w:tc>
          <w:tcPr>
            <w:tcW w:w="1400" w:type="pct"/>
            <w:gridSpan w:val="4"/>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危险性</w:t>
            </w:r>
          </w:p>
        </w:tc>
        <w:tc>
          <w:tcPr>
            <w:tcW w:w="1411" w:type="pct"/>
            <w:gridSpan w:val="2"/>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毒性及危害性</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vMerge w:val="continue"/>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p>
        </w:tc>
        <w:tc>
          <w:tcPr>
            <w:tcW w:w="390" w:type="pct"/>
            <w:vMerge w:val="continue"/>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p>
        </w:tc>
        <w:tc>
          <w:tcPr>
            <w:tcW w:w="408" w:type="pct"/>
            <w:vMerge w:val="continue"/>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p>
        </w:tc>
        <w:tc>
          <w:tcPr>
            <w:tcW w:w="1249" w:type="pct"/>
            <w:vMerge w:val="continue"/>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闪点/自燃温度℃</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爆炸极限%</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（vol）</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危险特性</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火灾危险分类</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毒性及危害特征</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毒物危害分级</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混合原油</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32003/</w:t>
            </w:r>
            <w:r>
              <w:rPr>
                <w:rFonts w:hint="eastAsia" w:ascii="宋体" w:hAnsi="宋体" w:eastAsia="宋体" w:cs="宋体"/>
                <w:sz w:val="18"/>
                <w:szCs w:val="18"/>
              </w:rPr>
              <w:softHyphen/>
            </w:r>
            <w:r>
              <w:rPr>
                <w:rFonts w:hint="eastAsia" w:ascii="宋体" w:hAnsi="宋体" w:eastAsia="宋体" w:cs="宋体"/>
                <w:sz w:val="18"/>
                <w:szCs w:val="18"/>
              </w:rPr>
              <w:t>1267</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液体，石油馏分，比重（20℃）为0.85451，总硫含量0.1047wt%</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-6.67～32.2/350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1.1～8.7</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易燃液体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vertAlign w:val="subscript"/>
              </w:rPr>
            </w:pPr>
            <w:r>
              <w:rPr>
                <w:rFonts w:hint="eastAsia" w:ascii="宋体" w:hAnsi="宋体" w:eastAsia="宋体" w:cs="宋体"/>
                <w:sz w:val="18"/>
                <w:szCs w:val="18"/>
              </w:rPr>
              <w:t>甲</w:t>
            </w:r>
            <w:r>
              <w:rPr>
                <w:rFonts w:hint="eastAsia" w:ascii="宋体" w:hAnsi="宋体" w:eastAsia="宋体" w:cs="宋体"/>
                <w:sz w:val="18"/>
                <w:szCs w:val="18"/>
                <w:vertAlign w:val="subscript"/>
              </w:rPr>
              <w:t>B</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可麻醉人体神经系统和引起肠功能紊乱，长期接触高浓度油气，可产生头昏、头疼、睡眠障碍等</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2</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石脑油</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32004/</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8006-61-9</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液体，石油馏分</w:t>
            </w:r>
            <w:r>
              <w:rPr>
                <w:rFonts w:hint="eastAsia" w:ascii="宋体" w:hAnsi="宋体" w:eastAsia="宋体" w:cs="宋体"/>
                <w:sz w:val="18"/>
                <w:szCs w:val="18"/>
                <w:lang w:eastAsia="zh-CN"/>
              </w:rPr>
              <w:t>，</w:t>
            </w:r>
            <w:r>
              <w:rPr>
                <w:rFonts w:hint="eastAsia" w:ascii="宋体" w:hAnsi="宋体" w:eastAsia="宋体" w:cs="宋体"/>
                <w:sz w:val="18"/>
                <w:szCs w:val="18"/>
              </w:rPr>
              <w:t>沸点20-160。</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&lt;-20.0/510～530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1.2～6.0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易燃液体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w:t>
            </w:r>
            <w:r>
              <w:rPr>
                <w:rFonts w:hint="eastAsia" w:ascii="宋体" w:hAnsi="宋体" w:eastAsia="宋体" w:cs="宋体"/>
                <w:sz w:val="18"/>
                <w:szCs w:val="18"/>
                <w:vertAlign w:val="subscript"/>
              </w:rPr>
              <w:t>B</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LD</w:t>
            </w:r>
            <w:r>
              <w:rPr>
                <w:rFonts w:hint="eastAsia" w:ascii="宋体" w:hAnsi="宋体" w:eastAsia="宋体" w:cs="宋体"/>
                <w:sz w:val="18"/>
                <w:szCs w:val="18"/>
                <w:vertAlign w:val="subscript"/>
              </w:rPr>
              <w:t>50</w:t>
            </w:r>
            <w:r>
              <w:rPr>
                <w:rFonts w:hint="eastAsia" w:ascii="宋体" w:hAnsi="宋体" w:eastAsia="宋体" w:cs="宋体"/>
                <w:sz w:val="18"/>
                <w:szCs w:val="18"/>
                <w:vertAlign w:val="baseline"/>
                <w:lang w:eastAsia="zh-CN"/>
              </w:rPr>
              <w:t>：</w:t>
            </w:r>
            <w:r>
              <w:rPr>
                <w:rFonts w:hint="eastAsia" w:ascii="宋体" w:hAnsi="宋体" w:eastAsia="宋体" w:cs="宋体"/>
                <w:sz w:val="18"/>
                <w:szCs w:val="18"/>
              </w:rPr>
              <w:t>16000mg/kg；</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可麻醉人体神经系统和引起肠功能紊乱，长期接触高浓度油气，可产生头昏、头疼、睡眠障碍等</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3</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汽油</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32001/</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8006-61-9</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无色透明，相对密度0.86，沸点183.7℃。凝固点-42.85℃。不溶于水，溶于乙醇、苯等多数有机溶剂。</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&lt;-434/15～530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1.1～5.9</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易燃液体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w:t>
            </w:r>
            <w:r>
              <w:rPr>
                <w:rFonts w:hint="eastAsia" w:ascii="宋体" w:hAnsi="宋体" w:eastAsia="宋体" w:cs="宋体"/>
                <w:sz w:val="18"/>
                <w:szCs w:val="18"/>
                <w:vertAlign w:val="subscript"/>
              </w:rPr>
              <w:t>B</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不仅有麻醉作用，而且影响脂肪代谢，导致中枢神经功能紊乱，甚至呼吸麻痹</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4</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柴油</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/68334-30-5</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轻质</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"http://baike.baidu.com/view/381710.htm"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石油产品</w:t>
            </w:r>
            <w:r>
              <w:rPr>
                <w:rFonts w:hint="eastAsia" w:ascii="宋体" w:hAnsi="宋体" w:eastAsia="宋体" w:cs="宋体"/>
                <w:sz w:val="18"/>
                <w:szCs w:val="18"/>
              </w:rPr>
              <w:fldChar w:fldCharType="end"/>
            </w:r>
            <w:r>
              <w:rPr>
                <w:rFonts w:hint="eastAsia" w:ascii="宋体" w:hAnsi="宋体" w:eastAsia="宋体" w:cs="宋体"/>
                <w:sz w:val="18"/>
                <w:szCs w:val="18"/>
              </w:rPr>
              <w:t>，复杂烃类(</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"http://baike.baidu.com/view/2082655.htm"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碳原子</w:t>
            </w:r>
            <w:r>
              <w:rPr>
                <w:rFonts w:hint="eastAsia" w:ascii="宋体" w:hAnsi="宋体" w:eastAsia="宋体" w:cs="宋体"/>
                <w:sz w:val="18"/>
                <w:szCs w:val="18"/>
              </w:rPr>
              <w:fldChar w:fldCharType="end"/>
            </w:r>
            <w:r>
              <w:rPr>
                <w:rFonts w:hint="eastAsia" w:ascii="宋体" w:hAnsi="宋体" w:eastAsia="宋体" w:cs="宋体"/>
                <w:sz w:val="18"/>
                <w:szCs w:val="18"/>
              </w:rPr>
              <w:t>数约10～22)混合物。易燃易挥发，不溶于水，</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"http://baike.baidu.com/view/4879920.htm"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易溶</w:t>
            </w:r>
            <w:r>
              <w:rPr>
                <w:rFonts w:hint="eastAsia" w:ascii="宋体" w:hAnsi="宋体" w:eastAsia="宋体" w:cs="宋体"/>
                <w:sz w:val="18"/>
                <w:szCs w:val="18"/>
              </w:rPr>
              <w:fldChar w:fldCharType="end"/>
            </w:r>
            <w:r>
              <w:rPr>
                <w:rFonts w:hint="eastAsia" w:ascii="宋体" w:hAnsi="宋体" w:eastAsia="宋体" w:cs="宋体"/>
                <w:sz w:val="18"/>
                <w:szCs w:val="18"/>
              </w:rPr>
              <w:t>于</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"http://baike.baidu.com/view/10062.htm"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醇</w:t>
            </w:r>
            <w:r>
              <w:rPr>
                <w:rFonts w:hint="eastAsia" w:ascii="宋体" w:hAnsi="宋体" w:eastAsia="宋体" w:cs="宋体"/>
                <w:sz w:val="18"/>
                <w:szCs w:val="18"/>
              </w:rPr>
              <w:fldChar w:fldCharType="end"/>
            </w:r>
            <w:r>
              <w:rPr>
                <w:rFonts w:hint="eastAsia" w:ascii="宋体" w:hAnsi="宋体" w:eastAsia="宋体" w:cs="宋体"/>
                <w:sz w:val="18"/>
                <w:szCs w:val="18"/>
              </w:rPr>
              <w:t>和其他</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"http://baike.baidu.com/view/435064.htm"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有机溶剂</w:t>
            </w:r>
            <w:r>
              <w:rPr>
                <w:rFonts w:hint="eastAsia" w:ascii="宋体" w:hAnsi="宋体" w:eastAsia="宋体" w:cs="宋体"/>
                <w:sz w:val="18"/>
                <w:szCs w:val="18"/>
              </w:rPr>
              <w:fldChar w:fldCharType="end"/>
            </w:r>
            <w:r>
              <w:rPr>
                <w:rFonts w:hint="eastAsia" w:ascii="宋体" w:hAnsi="宋体" w:eastAsia="宋体" w:cs="宋体"/>
                <w:sz w:val="18"/>
                <w:szCs w:val="18"/>
              </w:rPr>
              <w:t>。</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"http://baike.baidu.com/view/81200.htm"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沸点</w:t>
            </w:r>
            <w:r>
              <w:rPr>
                <w:rFonts w:hint="eastAsia" w:ascii="宋体" w:hAnsi="宋体" w:eastAsia="宋体" w:cs="宋体"/>
                <w:sz w:val="18"/>
                <w:szCs w:val="18"/>
              </w:rPr>
              <w:fldChar w:fldCharType="end"/>
            </w:r>
            <w:r>
              <w:rPr>
                <w:rFonts w:hint="eastAsia" w:ascii="宋体" w:hAnsi="宋体" w:eastAsia="宋体" w:cs="宋体"/>
                <w:sz w:val="18"/>
                <w:szCs w:val="18"/>
              </w:rPr>
              <w:t>为282℃～338℃，熔点-18℃。</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38/257</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0.6～7.5</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乙</w:t>
            </w:r>
            <w:r>
              <w:rPr>
                <w:rFonts w:hint="eastAsia" w:ascii="宋体" w:hAnsi="宋体" w:eastAsia="宋体" w:cs="宋体"/>
                <w:sz w:val="18"/>
                <w:szCs w:val="18"/>
                <w:vertAlign w:val="subscript"/>
              </w:rPr>
              <w:t>B</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皮肤吸收为主、</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"http://baike.baidu.com/view/140758.htm"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呼吸道</w:t>
            </w:r>
            <w:r>
              <w:rPr>
                <w:rFonts w:hint="eastAsia" w:ascii="宋体" w:hAnsi="宋体" w:eastAsia="宋体" w:cs="宋体"/>
                <w:sz w:val="18"/>
                <w:szCs w:val="18"/>
              </w:rPr>
              <w:fldChar w:fldCharType="end"/>
            </w:r>
            <w:r>
              <w:rPr>
                <w:rFonts w:hint="eastAsia" w:ascii="宋体" w:hAnsi="宋体" w:eastAsia="宋体" w:cs="宋体"/>
                <w:sz w:val="18"/>
                <w:szCs w:val="18"/>
              </w:rPr>
              <w:t>吸入；柴油的</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"http://baike.baidu.com/view/173431.htm"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雾滴</w:t>
            </w:r>
            <w:r>
              <w:rPr>
                <w:rFonts w:hint="eastAsia" w:ascii="宋体" w:hAnsi="宋体" w:eastAsia="宋体" w:cs="宋体"/>
                <w:sz w:val="18"/>
                <w:szCs w:val="18"/>
              </w:rPr>
              <w:fldChar w:fldCharType="end"/>
            </w:r>
            <w:r>
              <w:rPr>
                <w:rFonts w:hint="eastAsia" w:ascii="宋体" w:hAnsi="宋体" w:eastAsia="宋体" w:cs="宋体"/>
                <w:sz w:val="18"/>
                <w:szCs w:val="18"/>
              </w:rPr>
              <w:t>吸入后可致</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"http://baike.baidu.com/view/124964.htm"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吸入性肺炎</w:t>
            </w:r>
            <w:r>
              <w:rPr>
                <w:rFonts w:hint="eastAsia" w:ascii="宋体" w:hAnsi="宋体" w:eastAsia="宋体" w:cs="宋体"/>
                <w:sz w:val="18"/>
                <w:szCs w:val="18"/>
              </w:rPr>
              <w:fldChar w:fldCharType="end"/>
            </w:r>
            <w:r>
              <w:rPr>
                <w:rFonts w:hint="eastAsia" w:ascii="宋体" w:hAnsi="宋体" w:eastAsia="宋体" w:cs="宋体"/>
                <w:sz w:val="18"/>
                <w:szCs w:val="18"/>
              </w:rPr>
              <w:t>。皮肤接触柴油可致接触性皮炎。多见于两手、腕部与前臂。</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5</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煤油</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33501/8008-20-6</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稻草色液体，由不同馏分的烃类化合物组成；凝固点:-47℃露天燃烧温度:260-315℃</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43~72/210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0.7~5.0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b/>
                <w:sz w:val="18"/>
                <w:szCs w:val="18"/>
              </w:rPr>
            </w:pPr>
            <w:r>
              <w:rPr>
                <w:rFonts w:hint="eastAsia" w:ascii="宋体" w:hAnsi="宋体" w:eastAsia="宋体" w:cs="宋体"/>
                <w:sz w:val="18"/>
                <w:szCs w:val="18"/>
              </w:rPr>
              <w:t>易燃液体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b/>
                <w:sz w:val="18"/>
                <w:szCs w:val="18"/>
              </w:rPr>
            </w:pPr>
            <w:r>
              <w:rPr>
                <w:rFonts w:hint="eastAsia" w:ascii="宋体" w:hAnsi="宋体" w:eastAsia="宋体" w:cs="宋体"/>
                <w:sz w:val="18"/>
                <w:szCs w:val="18"/>
              </w:rPr>
              <w:t>乙</w:t>
            </w:r>
            <w:r>
              <w:rPr>
                <w:rFonts w:hint="eastAsia" w:ascii="宋体" w:hAnsi="宋体" w:eastAsia="宋体" w:cs="宋体"/>
                <w:sz w:val="18"/>
                <w:szCs w:val="18"/>
                <w:vertAlign w:val="subscript"/>
              </w:rPr>
              <w:t>B</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b/>
                <w:sz w:val="18"/>
                <w:szCs w:val="18"/>
              </w:rPr>
            </w:pPr>
            <w:r>
              <w:rPr>
                <w:rFonts w:hint="eastAsia" w:ascii="宋体" w:hAnsi="宋体" w:eastAsia="宋体" w:cs="宋体"/>
                <w:sz w:val="18"/>
                <w:szCs w:val="18"/>
              </w:rPr>
              <w:t>LD50 3600mg/kg(大鼠经口)；用作喷气式飞机燃料</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6</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氢气</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32001/</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1333-74-0</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eastAsia="zh-CN"/>
              </w:rPr>
            </w:pPr>
            <w:r>
              <w:rPr>
                <w:rFonts w:hint="eastAsia" w:ascii="宋体" w:hAnsi="宋体" w:eastAsia="宋体" w:cs="宋体"/>
                <w:sz w:val="18"/>
                <w:szCs w:val="18"/>
              </w:rPr>
              <w:t>无色无味气体，熔点-259℃、沸点-253℃，不溶于水，不溶于乙醇、乙醚，化学性质稳定</w:t>
            </w:r>
            <w:r>
              <w:rPr>
                <w:rFonts w:hint="eastAsia" w:ascii="宋体" w:hAnsi="宋体" w:eastAsia="宋体" w:cs="宋体"/>
                <w:sz w:val="18"/>
                <w:szCs w:val="18"/>
                <w:lang w:eastAsia="zh-CN"/>
              </w:rPr>
              <w:t>。</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bCs/>
                <w:sz w:val="18"/>
                <w:szCs w:val="18"/>
              </w:rPr>
              <w:t>/400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4.1～72</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易燃气体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通过呼吸道吸入，在生理学上是惰性气体，仅在高浓度时，引起窒息；在很高的分压下，氢气可呈现出麻醉作用</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7</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甲醇</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32058/</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67-56-1</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无色澄清液体，有刺激性气味，燃烧热（kJ/mol）727.0；其蒸气与空气形成爆炸性混合物，遇明火、高热能引起燃烧爆炸。与氧化剂能发生强烈反应。</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11/385</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5.5~44.0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易燃液体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w:t>
            </w:r>
            <w:r>
              <w:rPr>
                <w:rFonts w:hint="eastAsia" w:ascii="宋体" w:hAnsi="宋体" w:eastAsia="宋体" w:cs="宋体"/>
                <w:sz w:val="18"/>
                <w:szCs w:val="18"/>
                <w:vertAlign w:val="subscript"/>
              </w:rPr>
              <w:t>B</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对呼吸道及胃肠道粘膜有刺激作用，对血管神经有毒作用，引起血管痉挛，形成瘀血或出血；对视神经和视网膜有特殊的选择作用，使视网膜因缺乏营养血坏死</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Ⅲ</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8</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液氨</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23003</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/7664-41-7</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eastAsia="zh-CN"/>
              </w:rPr>
            </w:pPr>
            <w:r>
              <w:rPr>
                <w:rFonts w:hint="eastAsia" w:ascii="宋体" w:hAnsi="宋体" w:eastAsia="宋体" w:cs="宋体"/>
                <w:sz w:val="18"/>
                <w:szCs w:val="18"/>
              </w:rPr>
              <w:t>无色</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"http://baike.baidu.com/view/115153.htm"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液体</w:t>
            </w:r>
            <w:r>
              <w:rPr>
                <w:rFonts w:hint="eastAsia" w:ascii="宋体" w:hAnsi="宋体" w:eastAsia="宋体" w:cs="宋体"/>
                <w:sz w:val="18"/>
                <w:szCs w:val="18"/>
              </w:rPr>
              <w:fldChar w:fldCharType="end"/>
            </w:r>
            <w:r>
              <w:rPr>
                <w:rFonts w:hint="eastAsia" w:ascii="宋体" w:hAnsi="宋体" w:eastAsia="宋体" w:cs="宋体"/>
                <w:sz w:val="18"/>
                <w:szCs w:val="18"/>
              </w:rPr>
              <w:t>，有强烈刺激性气味，氨易溶于水，溶于水后形成铵根离子NH</w:t>
            </w:r>
            <w:r>
              <w:rPr>
                <w:rFonts w:hint="eastAsia" w:ascii="宋体" w:hAnsi="宋体" w:eastAsia="宋体" w:cs="宋体"/>
                <w:sz w:val="18"/>
                <w:szCs w:val="18"/>
                <w:vertAlign w:val="subscript"/>
              </w:rPr>
              <w:t>4+</w:t>
            </w:r>
            <w:r>
              <w:rPr>
                <w:rFonts w:hint="eastAsia" w:ascii="宋体" w:hAnsi="宋体" w:eastAsia="宋体" w:cs="宋体"/>
                <w:sz w:val="18"/>
                <w:szCs w:val="18"/>
              </w:rPr>
              <w:t>、氢氧根离子OH</w:t>
            </w:r>
            <w:r>
              <w:rPr>
                <w:rFonts w:hint="eastAsia" w:ascii="宋体" w:hAnsi="宋体" w:eastAsia="宋体" w:cs="宋体"/>
                <w:sz w:val="18"/>
                <w:szCs w:val="18"/>
                <w:vertAlign w:val="superscript"/>
              </w:rPr>
              <w:t>-</w:t>
            </w:r>
            <w:r>
              <w:rPr>
                <w:rFonts w:hint="eastAsia" w:ascii="宋体" w:hAnsi="宋体" w:eastAsia="宋体" w:cs="宋体"/>
                <w:sz w:val="18"/>
                <w:szCs w:val="18"/>
              </w:rPr>
              <w:t>，呈碱性的碱性溶液，具有</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"http://baike.baidu.com/view/1456180.htm"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腐蚀性</w:t>
            </w:r>
            <w:r>
              <w:rPr>
                <w:rFonts w:hint="eastAsia" w:ascii="宋体" w:hAnsi="宋体" w:eastAsia="宋体" w:cs="宋体"/>
                <w:sz w:val="18"/>
                <w:szCs w:val="18"/>
              </w:rPr>
              <w:fldChar w:fldCharType="end"/>
            </w:r>
            <w:r>
              <w:rPr>
                <w:rFonts w:hint="eastAsia" w:ascii="宋体" w:hAnsi="宋体" w:eastAsia="宋体" w:cs="宋体"/>
                <w:sz w:val="18"/>
                <w:szCs w:val="18"/>
              </w:rPr>
              <w:t>且容易挥发</w:t>
            </w:r>
            <w:r>
              <w:rPr>
                <w:rFonts w:hint="eastAsia" w:ascii="宋体" w:hAnsi="宋体" w:eastAsia="宋体" w:cs="宋体"/>
                <w:sz w:val="18"/>
                <w:szCs w:val="18"/>
                <w:lang w:eastAsia="zh-CN"/>
              </w:rPr>
              <w:t>。</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/651.1</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16～25</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有毒气体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乙</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LD50 350mg/kg(大鼠经口)；LC50 1390mg/m，4小时；氨进入人体后会阻碍</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"http://baike.baidu.com/view/22876.htm"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三羧酸循环</w:t>
            </w:r>
            <w:r>
              <w:rPr>
                <w:rFonts w:hint="eastAsia" w:ascii="宋体" w:hAnsi="宋体" w:eastAsia="宋体" w:cs="宋体"/>
                <w:sz w:val="18"/>
                <w:szCs w:val="18"/>
              </w:rPr>
              <w:fldChar w:fldCharType="end"/>
            </w:r>
            <w:r>
              <w:rPr>
                <w:rFonts w:hint="eastAsia" w:ascii="宋体" w:hAnsi="宋体" w:eastAsia="宋体" w:cs="宋体"/>
                <w:sz w:val="18"/>
                <w:szCs w:val="18"/>
              </w:rPr>
              <w:t>，降低</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"http://baike.baidu.com/view/3873162.htm"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细胞色素氧化酶</w:t>
            </w:r>
            <w:r>
              <w:rPr>
                <w:rFonts w:hint="eastAsia" w:ascii="宋体" w:hAnsi="宋体" w:eastAsia="宋体" w:cs="宋体"/>
                <w:sz w:val="18"/>
                <w:szCs w:val="18"/>
              </w:rPr>
              <w:fldChar w:fldCharType="end"/>
            </w:r>
            <w:r>
              <w:rPr>
                <w:rFonts w:hint="eastAsia" w:ascii="宋体" w:hAnsi="宋体" w:eastAsia="宋体" w:cs="宋体"/>
                <w:sz w:val="18"/>
                <w:szCs w:val="18"/>
              </w:rPr>
              <w:t>的作用。致使脑氨增加，可产生</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"http://baike.baidu.com/view/46802.htm"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神经</w:t>
            </w:r>
            <w:r>
              <w:rPr>
                <w:rFonts w:hint="eastAsia" w:ascii="宋体" w:hAnsi="宋体" w:eastAsia="宋体" w:cs="宋体"/>
                <w:sz w:val="18"/>
                <w:szCs w:val="18"/>
              </w:rPr>
              <w:fldChar w:fldCharType="end"/>
            </w:r>
            <w:r>
              <w:rPr>
                <w:rFonts w:hint="eastAsia" w:ascii="宋体" w:hAnsi="宋体" w:eastAsia="宋体" w:cs="宋体"/>
                <w:sz w:val="18"/>
                <w:szCs w:val="18"/>
              </w:rPr>
              <w:t>毒作用。高浓度氨可引起组织溶解坏死作用</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Ⅲ</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9</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四氯乙烯</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61580</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/127-18-4</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eastAsia="zh-CN"/>
              </w:rPr>
            </w:pP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"http://baike.baidu.com/view/163374.htm"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有机化合物</w:t>
            </w:r>
            <w:r>
              <w:rPr>
                <w:rFonts w:hint="eastAsia" w:ascii="宋体" w:hAnsi="宋体" w:eastAsia="宋体" w:cs="宋体"/>
                <w:sz w:val="18"/>
                <w:szCs w:val="18"/>
              </w:rPr>
              <w:fldChar w:fldCharType="end"/>
            </w:r>
            <w:r>
              <w:rPr>
                <w:rFonts w:hint="eastAsia" w:ascii="宋体" w:hAnsi="宋体" w:eastAsia="宋体" w:cs="宋体"/>
                <w:sz w:val="18"/>
                <w:szCs w:val="18"/>
              </w:rPr>
              <w:t>，有</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"http://baike.baidu.com/view/27713.htm"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氯仿</w:t>
            </w:r>
            <w:r>
              <w:rPr>
                <w:rFonts w:hint="eastAsia" w:ascii="宋体" w:hAnsi="宋体" w:eastAsia="宋体" w:cs="宋体"/>
                <w:sz w:val="18"/>
                <w:szCs w:val="18"/>
              </w:rPr>
              <w:fldChar w:fldCharType="end"/>
            </w:r>
            <w:r>
              <w:rPr>
                <w:rFonts w:hint="eastAsia" w:ascii="宋体" w:hAnsi="宋体" w:eastAsia="宋体" w:cs="宋体"/>
                <w:sz w:val="18"/>
                <w:szCs w:val="18"/>
              </w:rPr>
              <w:t>样气味，不溶于水，可混溶于</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"http://baike.baidu.com/view/3010.htm"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乙醇</w:t>
            </w:r>
            <w:r>
              <w:rPr>
                <w:rFonts w:hint="eastAsia" w:ascii="宋体" w:hAnsi="宋体" w:eastAsia="宋体" w:cs="宋体"/>
                <w:sz w:val="18"/>
                <w:szCs w:val="18"/>
              </w:rPr>
              <w:fldChar w:fldCharType="end"/>
            </w:r>
            <w:r>
              <w:rPr>
                <w:rFonts w:hint="eastAsia" w:ascii="宋体" w:hAnsi="宋体" w:eastAsia="宋体" w:cs="宋体"/>
                <w:sz w:val="18"/>
                <w:szCs w:val="18"/>
              </w:rPr>
              <w:t>、</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"http://baike.baidu.com/view/15924.htm"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乙醚</w:t>
            </w:r>
            <w:r>
              <w:rPr>
                <w:rFonts w:hint="eastAsia" w:ascii="宋体" w:hAnsi="宋体" w:eastAsia="宋体" w:cs="宋体"/>
                <w:sz w:val="18"/>
                <w:szCs w:val="18"/>
              </w:rPr>
              <w:fldChar w:fldCharType="end"/>
            </w:r>
            <w:r>
              <w:rPr>
                <w:rFonts w:hint="eastAsia" w:ascii="宋体" w:hAnsi="宋体" w:eastAsia="宋体" w:cs="宋体"/>
                <w:sz w:val="18"/>
                <w:szCs w:val="18"/>
              </w:rPr>
              <w:t>等多数</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"http://baike.baidu.com/view/435064.htm"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有机溶剂</w:t>
            </w:r>
            <w:r>
              <w:rPr>
                <w:rFonts w:hint="eastAsia" w:ascii="宋体" w:hAnsi="宋体" w:eastAsia="宋体" w:cs="宋体"/>
                <w:sz w:val="18"/>
                <w:szCs w:val="18"/>
              </w:rPr>
              <w:fldChar w:fldCharType="end"/>
            </w:r>
            <w:r>
              <w:rPr>
                <w:rFonts w:hint="eastAsia" w:ascii="宋体" w:hAnsi="宋体" w:eastAsia="宋体" w:cs="宋体"/>
                <w:sz w:val="18"/>
                <w:szCs w:val="18"/>
              </w:rPr>
              <w:t>。燃烧热(kJ/mol)：679.3</w:t>
            </w:r>
            <w:r>
              <w:rPr>
                <w:rFonts w:hint="eastAsia" w:ascii="宋体" w:hAnsi="宋体" w:eastAsia="宋体" w:cs="宋体"/>
                <w:sz w:val="18"/>
                <w:szCs w:val="18"/>
                <w:lang w:eastAsia="zh-CN"/>
              </w:rPr>
              <w:t>。</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毒害品</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LD50：（大鼠，经口）13g/kg；（小鼠，经口）8.4g/kg；一般不会燃烧，但长时间暴露在明火及</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"http://baike.baidu.com/view/20616.htm"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高温</w:t>
            </w:r>
            <w:r>
              <w:rPr>
                <w:rFonts w:hint="eastAsia" w:ascii="宋体" w:hAnsi="宋体" w:eastAsia="宋体" w:cs="宋体"/>
                <w:sz w:val="18"/>
                <w:szCs w:val="18"/>
              </w:rPr>
              <w:fldChar w:fldCharType="end"/>
            </w:r>
            <w:r>
              <w:rPr>
                <w:rFonts w:hint="eastAsia" w:ascii="宋体" w:hAnsi="宋体" w:eastAsia="宋体" w:cs="宋体"/>
                <w:sz w:val="18"/>
                <w:szCs w:val="18"/>
              </w:rPr>
              <w:t>下仍能</w:t>
            </w:r>
            <w:r>
              <w:rPr>
                <w:rFonts w:hint="eastAsia" w:ascii="宋体" w:hAnsi="宋体" w:eastAsia="宋体" w:cs="宋体"/>
                <w:sz w:val="18"/>
                <w:szCs w:val="18"/>
              </w:rPr>
              <w:fldChar w:fldCharType="begin"/>
            </w:r>
            <w:r>
              <w:rPr>
                <w:rFonts w:hint="eastAsia" w:ascii="宋体" w:hAnsi="宋体" w:eastAsia="宋体" w:cs="宋体"/>
                <w:sz w:val="18"/>
                <w:szCs w:val="18"/>
              </w:rPr>
              <w:instrText xml:space="preserve"> HYPERLINK "http://baike.baidu.com/view/62786.htm" \t "_blank" </w:instrText>
            </w:r>
            <w:r>
              <w:rPr>
                <w:rFonts w:hint="eastAsia" w:ascii="宋体" w:hAnsi="宋体" w:eastAsia="宋体" w:cs="宋体"/>
                <w:sz w:val="18"/>
                <w:szCs w:val="18"/>
              </w:rPr>
              <w:fldChar w:fldCharType="separate"/>
            </w:r>
            <w:r>
              <w:rPr>
                <w:rFonts w:hint="eastAsia" w:ascii="宋体" w:hAnsi="宋体" w:eastAsia="宋体" w:cs="宋体"/>
                <w:sz w:val="18"/>
                <w:szCs w:val="18"/>
              </w:rPr>
              <w:t>燃烧</w:t>
            </w:r>
            <w:r>
              <w:rPr>
                <w:rFonts w:hint="eastAsia" w:ascii="宋体" w:hAnsi="宋体" w:eastAsia="宋体" w:cs="宋体"/>
                <w:sz w:val="18"/>
                <w:szCs w:val="18"/>
              </w:rPr>
              <w:fldChar w:fldCharType="end"/>
            </w:r>
            <w:r>
              <w:rPr>
                <w:rFonts w:hint="eastAsia" w:ascii="宋体" w:hAnsi="宋体" w:eastAsia="宋体" w:cs="宋体"/>
                <w:sz w:val="18"/>
                <w:szCs w:val="18"/>
              </w:rPr>
              <w:t>。受高热分解产生有毒的腐蚀性烟气。</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10</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苯</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32050</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/71-43-2</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无色透明液体，有强烈芳香味。相对密度0.88。熔点5.5℃，沸点80.1℃。</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-11/560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1.3-7.1</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vertAlign w:val="subscript"/>
              </w:rPr>
            </w:pPr>
            <w:r>
              <w:rPr>
                <w:rFonts w:hint="eastAsia" w:ascii="宋体" w:hAnsi="宋体" w:eastAsia="宋体" w:cs="宋体"/>
                <w:sz w:val="18"/>
                <w:szCs w:val="18"/>
              </w:rPr>
              <w:t>易燃液体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vertAlign w:val="subscript"/>
              </w:rPr>
            </w:pPr>
            <w:r>
              <w:rPr>
                <w:rFonts w:hint="eastAsia" w:ascii="宋体" w:hAnsi="宋体" w:eastAsia="宋体" w:cs="宋体"/>
                <w:sz w:val="18"/>
                <w:szCs w:val="18"/>
              </w:rPr>
              <w:t>甲</w:t>
            </w:r>
            <w:r>
              <w:rPr>
                <w:rFonts w:hint="eastAsia" w:ascii="宋体" w:hAnsi="宋体" w:eastAsia="宋体" w:cs="宋体"/>
                <w:sz w:val="18"/>
                <w:szCs w:val="18"/>
                <w:vertAlign w:val="subscript"/>
              </w:rPr>
              <w:t>B</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vertAlign w:val="subscript"/>
              </w:rPr>
            </w:pPr>
            <w:r>
              <w:rPr>
                <w:rFonts w:hint="eastAsia" w:ascii="宋体" w:hAnsi="宋体" w:eastAsia="宋体" w:cs="宋体"/>
                <w:sz w:val="18"/>
                <w:szCs w:val="18"/>
              </w:rPr>
              <w:t>LD</w:t>
            </w:r>
            <w:r>
              <w:rPr>
                <w:rFonts w:hint="eastAsia" w:ascii="宋体" w:hAnsi="宋体" w:eastAsia="宋体" w:cs="宋体"/>
                <w:sz w:val="18"/>
                <w:szCs w:val="18"/>
                <w:vertAlign w:val="subscript"/>
              </w:rPr>
              <w:t>50</w:t>
            </w:r>
            <w:r>
              <w:rPr>
                <w:rFonts w:hint="eastAsia" w:ascii="宋体" w:hAnsi="宋体" w:eastAsia="宋体" w:cs="宋体"/>
                <w:sz w:val="18"/>
                <w:szCs w:val="18"/>
              </w:rPr>
              <w:t>: 3306mg/kg（大鼠经口）、48mg/kg（小鼠经皮）、LC</w:t>
            </w:r>
            <w:r>
              <w:rPr>
                <w:rFonts w:hint="eastAsia" w:ascii="宋体" w:hAnsi="宋体" w:eastAsia="宋体" w:cs="宋体"/>
                <w:sz w:val="18"/>
                <w:szCs w:val="18"/>
                <w:vertAlign w:val="subscript"/>
              </w:rPr>
              <w:t>50</w:t>
            </w:r>
            <w:r>
              <w:rPr>
                <w:rFonts w:hint="eastAsia" w:ascii="宋体" w:hAnsi="宋体" w:eastAsia="宋体" w:cs="宋体"/>
                <w:sz w:val="18"/>
                <w:szCs w:val="18"/>
              </w:rPr>
              <w:t>:10000ppm7小时（大鼠吸入），高浓度能引起人体急性中毒，严重的可因中枢神经麻痹而死亡；低浓度可导致慢性中毒，影响人的造血系统。</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Ⅰ</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11</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液化气</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21053</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/68476-85-7</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常温、常压下为无色气体，主要组分为C</w:t>
            </w:r>
            <w:r>
              <w:rPr>
                <w:rFonts w:hint="eastAsia" w:ascii="宋体" w:hAnsi="宋体" w:eastAsia="宋体" w:cs="宋体"/>
                <w:sz w:val="18"/>
                <w:szCs w:val="18"/>
                <w:vertAlign w:val="subscript"/>
              </w:rPr>
              <w:t>3</w:t>
            </w:r>
            <w:r>
              <w:rPr>
                <w:rFonts w:hint="eastAsia" w:ascii="宋体" w:hAnsi="宋体" w:eastAsia="宋体" w:cs="宋体"/>
                <w:sz w:val="18"/>
                <w:szCs w:val="18"/>
              </w:rPr>
              <w:t>与C</w:t>
            </w:r>
            <w:r>
              <w:rPr>
                <w:rFonts w:hint="eastAsia" w:ascii="宋体" w:hAnsi="宋体" w:eastAsia="宋体" w:cs="宋体"/>
                <w:sz w:val="18"/>
                <w:szCs w:val="18"/>
                <w:vertAlign w:val="subscript"/>
              </w:rPr>
              <w:t>4</w:t>
            </w:r>
            <w:r>
              <w:rPr>
                <w:rFonts w:hint="eastAsia" w:ascii="宋体" w:hAnsi="宋体" w:eastAsia="宋体" w:cs="宋体"/>
                <w:sz w:val="18"/>
                <w:szCs w:val="18"/>
              </w:rPr>
              <w:t>混合烃类，在常温下加压（1.0MPa）下易变成液态。相对密度（空气1）1.8-2.0。</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-70/426</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3.0-13.0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易燃气体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vertAlign w:val="subscript"/>
              </w:rPr>
            </w:pPr>
            <w:r>
              <w:rPr>
                <w:rFonts w:hint="eastAsia" w:ascii="宋体" w:hAnsi="宋体" w:eastAsia="宋体" w:cs="宋体"/>
                <w:sz w:val="18"/>
                <w:szCs w:val="18"/>
              </w:rPr>
              <w:t>甲</w:t>
            </w:r>
            <w:r>
              <w:rPr>
                <w:rFonts w:hint="eastAsia" w:ascii="宋体" w:hAnsi="宋体" w:eastAsia="宋体" w:cs="宋体"/>
                <w:sz w:val="18"/>
                <w:szCs w:val="18"/>
                <w:vertAlign w:val="subscript"/>
              </w:rPr>
              <w:t>A</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有硫醇和硫醚类混合物，产生特殊的毒性作用</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12</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kern w:val="24"/>
                <w:sz w:val="18"/>
                <w:szCs w:val="18"/>
              </w:rPr>
              <w:t>丙烷</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21011/-</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无色气体，纯品无臭，相对密度：0.5853(－45/4℃)，熔点(℃)：-187.6(85.5K)，沸点(℃)：-42.09(231.1K)</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-104</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2.1-9.5</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易燃气体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有单纯性窒息及麻醉作用。人短暂接触 1%丙烷，不引起症状；10%以下的浓度，只引起轻度头晕；接触高浓度时可出现麻醉状态、意识丧失；极高浓度时可致窒息。</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13</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丙烯</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21018</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/115-07-1</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为无色有烃类气味气体，溶于水和乙醇。熔点：-191.2℃；沸点：-47.7℃；临界温度：91.9℃，临界压力：4.62MPa；燃烧热：2049kJ/mol。</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-108/455</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1.0-15.0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易燃气体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属低毒性，通过吸入危害健康。对人的麻醉力比乙烯强。急性中毒：人吸入丙稀可引起意识丧失，慢性影响：长期接触丙稀，可引起头昏、乏力、全身不适、思维不集中。个别人有胃肠道功能紊乱</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14</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天然气（干气、燃料气）</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21007/</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74-82-8</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气体，主要组份为C</w:t>
            </w:r>
            <w:r>
              <w:rPr>
                <w:rFonts w:hint="eastAsia" w:ascii="宋体" w:hAnsi="宋体" w:eastAsia="宋体" w:cs="宋体"/>
                <w:sz w:val="18"/>
                <w:szCs w:val="18"/>
                <w:vertAlign w:val="subscript"/>
              </w:rPr>
              <w:t>1</w:t>
            </w:r>
            <w:r>
              <w:rPr>
                <w:rFonts w:hint="eastAsia" w:ascii="宋体" w:hAnsi="宋体" w:eastAsia="宋体" w:cs="宋体"/>
                <w:sz w:val="18"/>
                <w:szCs w:val="18"/>
              </w:rPr>
              <w:t>、C</w:t>
            </w:r>
            <w:r>
              <w:rPr>
                <w:rFonts w:hint="eastAsia" w:ascii="宋体" w:hAnsi="宋体" w:eastAsia="宋体" w:cs="宋体"/>
                <w:sz w:val="18"/>
                <w:szCs w:val="18"/>
                <w:vertAlign w:val="subscript"/>
              </w:rPr>
              <w:t>2</w:t>
            </w:r>
            <w:r>
              <w:rPr>
                <w:rFonts w:hint="eastAsia" w:ascii="宋体" w:hAnsi="宋体" w:eastAsia="宋体" w:cs="宋体"/>
                <w:sz w:val="18"/>
                <w:szCs w:val="18"/>
              </w:rPr>
              <w:t>及H</w:t>
            </w:r>
            <w:r>
              <w:rPr>
                <w:rFonts w:hint="eastAsia" w:ascii="宋体" w:hAnsi="宋体" w:eastAsia="宋体" w:cs="宋体"/>
                <w:sz w:val="18"/>
                <w:szCs w:val="18"/>
                <w:vertAlign w:val="subscript"/>
              </w:rPr>
              <w:t>2</w:t>
            </w:r>
            <w:r>
              <w:rPr>
                <w:rFonts w:hint="eastAsia" w:ascii="宋体" w:hAnsi="宋体" w:eastAsia="宋体" w:cs="宋体"/>
                <w:sz w:val="18"/>
                <w:szCs w:val="18"/>
              </w:rPr>
              <w:t>等。</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-188/650-750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1.5-4.5</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易燃气体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对人基本无毒，但浓度过高时，使空气中氧含量明显降低，使人窒息。当空气中甲烷达25%-30%时，可引起头痛、头晕、乏力、注意力不集中、呼吸和心跳加速、共济失调。</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Ⅳ</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15</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MTBE(甲基叔丁基醚)</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32084/</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1634-04-4</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无色液体，有醚味。相对密度（水=1）0.76，相对密度（空气）3.1，饱和蒸气压（kPa）31.9（20℃），熔点（℃）-109（凝），沸点（℃）53-56。</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1.6-15.1</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易燃液体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w:t>
            </w:r>
            <w:r>
              <w:rPr>
                <w:rFonts w:hint="eastAsia" w:ascii="宋体" w:hAnsi="宋体" w:eastAsia="宋体" w:cs="宋体"/>
                <w:sz w:val="18"/>
                <w:szCs w:val="18"/>
                <w:vertAlign w:val="subscript"/>
              </w:rPr>
              <w:t>B</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本品蒸气或雾对眼睛、黏膜和上呼吸道有刺激作用，可引起化学性肺炎。对皮肤有刺激性。</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Ⅲ</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16</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硫化氢</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21006/7783-06-4</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eastAsia="zh-CN"/>
              </w:rPr>
            </w:pPr>
            <w:r>
              <w:rPr>
                <w:rFonts w:hint="eastAsia" w:ascii="宋体" w:hAnsi="宋体" w:eastAsia="宋体" w:cs="宋体"/>
                <w:sz w:val="18"/>
                <w:szCs w:val="18"/>
              </w:rPr>
              <w:t>属高毒性无色可燃气体，具有典型的臭鸡蛋气味</w:t>
            </w:r>
            <w:r>
              <w:rPr>
                <w:rFonts w:hint="eastAsia" w:ascii="宋体" w:hAnsi="宋体" w:eastAsia="宋体" w:cs="宋体"/>
                <w:sz w:val="18"/>
                <w:szCs w:val="18"/>
                <w:lang w:eastAsia="zh-CN"/>
              </w:rPr>
              <w:t>。</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/250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4.3～45.5</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可燃气体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甲</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LC</w:t>
            </w:r>
            <w:r>
              <w:rPr>
                <w:rFonts w:hint="eastAsia" w:ascii="宋体" w:hAnsi="宋体" w:eastAsia="宋体" w:cs="宋体"/>
                <w:sz w:val="18"/>
                <w:szCs w:val="18"/>
                <w:vertAlign w:val="subscript"/>
              </w:rPr>
              <w:t>50</w:t>
            </w:r>
            <w:r>
              <w:rPr>
                <w:rFonts w:hint="eastAsia" w:ascii="宋体" w:hAnsi="宋体" w:eastAsia="宋体" w:cs="宋体"/>
                <w:sz w:val="18"/>
                <w:szCs w:val="18"/>
              </w:rPr>
              <w:t xml:space="preserve">  618mg/m</w:t>
            </w:r>
            <w:r>
              <w:rPr>
                <w:rFonts w:hint="eastAsia" w:ascii="宋体" w:hAnsi="宋体" w:eastAsia="宋体" w:cs="宋体"/>
                <w:sz w:val="18"/>
                <w:szCs w:val="18"/>
                <w:vertAlign w:val="superscript"/>
              </w:rPr>
              <w:t>3</w:t>
            </w:r>
            <w:r>
              <w:rPr>
                <w:rFonts w:hint="eastAsia" w:ascii="宋体" w:hAnsi="宋体" w:eastAsia="宋体" w:cs="宋体"/>
                <w:sz w:val="18"/>
                <w:szCs w:val="18"/>
              </w:rPr>
              <w:t>(大鼠吸入)；一种强烈的神经毒物，对粘膜有强烈的刺激作用，特点是低浓度时对呼吸道及眼的局部刺激作用明显，浓度越高，全身性作用越明显，高浓度时可直接抑制呼吸中枢，导致呼吸停止、迅速窒息而死亡。</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恶臭Ⅱ</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17</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硫磺</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41501/-</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为淡黄色脆性结晶或粉末，有特殊臭味。熔点为112℃，沸点为444.6℃，相对密度(水=1)为2.0。硫磺不溶于水，微溶于乙醇、醚，易溶于二硫化碳。</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/250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~35</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易燃固体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乙</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硫磺属于低毒类毒物，因其能在肠道内部分转化为硫化氢而被吸收，故大量口服可致硫化氢中毒。</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18</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一氧化碳</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21005/630-08-0</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标准状况下一氧化碳（carbon monoxide, CO）纯品为无色、无臭、无刺激性的气体。相对分子质量为28.01，密度1.250g/l，冰点为-207℃，沸点-190℃。在水中的溶解度甚低，极难溶于水。</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center"/>
              <w:textAlignment w:val="auto"/>
              <w:rPr>
                <w:rFonts w:hint="eastAsia" w:ascii="宋体" w:hAnsi="宋体" w:eastAsia="宋体" w:cs="宋体"/>
                <w:sz w:val="18"/>
                <w:szCs w:val="18"/>
              </w:rPr>
            </w:pPr>
            <w:r>
              <w:rPr>
                <w:rFonts w:hint="eastAsia" w:ascii="宋体" w:hAnsi="宋体" w:eastAsia="宋体" w:cs="宋体"/>
                <w:sz w:val="18"/>
                <w:szCs w:val="18"/>
              </w:rPr>
              <w:t>/610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12.5～74.0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易燃气体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乙</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ind w:left="0" w:right="0" w:firstLine="0" w:firstLineChars="0"/>
              <w:jc w:val="left"/>
              <w:textAlignment w:val="auto"/>
              <w:rPr>
                <w:rFonts w:hint="eastAsia" w:ascii="宋体" w:hAnsi="宋体" w:eastAsia="宋体" w:cs="宋体"/>
                <w:kern w:val="0"/>
                <w:sz w:val="18"/>
                <w:szCs w:val="18"/>
              </w:rPr>
            </w:pPr>
            <w:r>
              <w:rPr>
                <w:rFonts w:hint="eastAsia" w:ascii="宋体" w:hAnsi="宋体" w:eastAsia="宋体" w:cs="宋体"/>
                <w:kern w:val="0"/>
                <w:sz w:val="18"/>
                <w:szCs w:val="18"/>
              </w:rPr>
              <w:t>急性毒性：LC50：小鼠2300～5700mg/m³，豚鼠1000～3300mg/m³，兔4600～17200mg/m³，猫4600～45800mg/m³，狗34400～45800mg/m³。 亚急性和慢性毒性：大鼠吸入0.047～0.053mg/L，4～8h/d，30d，出现生长缓慢，血红蛋白及红细胞数增高，肝脏的琥珀酸脱氢酶及细胞色素氧化酶的活性受到破坏。猴吸入0.11mg/L，经3～6个月引起心肌损伤。</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Ⅱ</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19</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戊烷</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31002/ 1265</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极易燃，其蒸气与空气可形成爆炸性混合物。遇明火、高热极易燃烧爆炸。与氧化剂能发生强烈反应，甚至引起燃烧。液体比水轻，不溶于水，可随水漂流扩散到远处，遇明火即引起燃烧。在火场中，受热的容器有爆炸危险。其蒸气比空气重，能在较低处扩散到相当远的地方，遇明火会引着回燃。</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-40/260</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1.7~9.8</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易燃气体</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甲</w:t>
            </w:r>
            <w:r>
              <w:rPr>
                <w:rFonts w:hint="eastAsia" w:ascii="宋体" w:hAnsi="宋体" w:eastAsia="宋体" w:cs="宋体"/>
                <w:sz w:val="18"/>
                <w:szCs w:val="18"/>
                <w:vertAlign w:val="subscript"/>
              </w:rPr>
              <w:t>B</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急性毒性：LD50446mg/kg（小鼠经口）</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刺激性：人经眼：140ppm(8小时），轻度刺激。</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亚急性和慢性毒性：动物吸入25.2，116，332，800mg/m3，117天，未见中毒反应。</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Ⅱ</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20</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硫酸</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81007/ 7664-93-9</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lang w:eastAsia="zh-CN"/>
              </w:rPr>
            </w:pPr>
            <w:r>
              <w:rPr>
                <w:rFonts w:hint="eastAsia" w:ascii="宋体" w:hAnsi="宋体" w:eastAsia="宋体" w:cs="宋体"/>
                <w:sz w:val="18"/>
                <w:szCs w:val="18"/>
              </w:rPr>
              <w:t>无色油状液体，10.36℃时结晶，密度比水大</w:t>
            </w:r>
            <w:r>
              <w:rPr>
                <w:rFonts w:hint="eastAsia" w:ascii="宋体" w:hAnsi="宋体" w:eastAsia="宋体" w:cs="宋体"/>
                <w:sz w:val="18"/>
                <w:szCs w:val="18"/>
                <w:lang w:eastAsia="zh-CN"/>
              </w:rPr>
              <w:t>。</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第8.1类酸性腐蚀品</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对眼睛、皮肤、呼吸道有强腐蚀性</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w:t>
            </w:r>
          </w:p>
        </w:tc>
      </w:tr>
      <w:tr>
        <w:tblPrEx>
          <w:tblBorders>
            <w:top w:val="single" w:color="auto" w:sz="12" w:space="0"/>
            <w:left w:val="single" w:color="auto" w:sz="2" w:space="0"/>
            <w:bottom w:val="single" w:color="auto" w:sz="12" w:space="0"/>
            <w:right w:val="single" w:color="auto" w:sz="2" w:space="0"/>
            <w:insideH w:val="single" w:color="auto" w:sz="6" w:space="0"/>
            <w:insideV w:val="single" w:color="auto" w:sz="6" w:space="0"/>
          </w:tblBorders>
          <w:tblCellMar>
            <w:top w:w="0" w:type="dxa"/>
            <w:left w:w="108" w:type="dxa"/>
            <w:bottom w:w="0" w:type="dxa"/>
            <w:right w:w="108" w:type="dxa"/>
          </w:tblCellMar>
        </w:tblPrEx>
        <w:trPr>
          <w:cantSplit/>
          <w:trHeight w:val="227" w:hRule="atLeast"/>
          <w:jc w:val="center"/>
        </w:trPr>
        <w:tc>
          <w:tcPr>
            <w:tcW w:w="13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21</w:t>
            </w:r>
          </w:p>
        </w:tc>
        <w:tc>
          <w:tcPr>
            <w:tcW w:w="390" w:type="pct"/>
            <w:tcBorders>
              <w:tl2br w:val="nil"/>
              <w:tr2bl w:val="nil"/>
            </w:tcBorders>
            <w:vAlign w:val="center"/>
          </w:tcPr>
          <w:p>
            <w:pPr>
              <w:keepNext w:val="0"/>
              <w:keepLines w:val="0"/>
              <w:pageBreakBefore w:val="0"/>
              <w:widowControl w:val="0"/>
              <w:suppressLineNumbers w:val="0"/>
              <w:kinsoku/>
              <w:wordWrap/>
              <w:overflowPunct/>
              <w:topLinePunct w:val="0"/>
              <w:autoSpaceDE w:val="0"/>
              <w:autoSpaceDN w:val="0"/>
              <w:bidi w:val="0"/>
              <w:adjustRightIn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盐酸</w:t>
            </w:r>
          </w:p>
        </w:tc>
        <w:tc>
          <w:tcPr>
            <w:tcW w:w="408"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81013/1789</w:t>
            </w:r>
          </w:p>
        </w:tc>
        <w:tc>
          <w:tcPr>
            <w:tcW w:w="12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无色液体，有腐蚀性，为氯化氢的水溶液，具有刺激性气味。</w:t>
            </w:r>
          </w:p>
        </w:tc>
        <w:tc>
          <w:tcPr>
            <w:tcW w:w="400" w:type="pct"/>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349"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第8.1类酸性腐蚀品</w:t>
            </w:r>
          </w:p>
        </w:tc>
        <w:tc>
          <w:tcPr>
            <w:tcW w:w="300" w:type="pct"/>
            <w:tcBorders>
              <w:tl2br w:val="nil"/>
              <w:tr2bl w:val="nil"/>
            </w:tcBorders>
            <w:vAlign w:val="center"/>
          </w:tcPr>
          <w:p>
            <w:pPr>
              <w:keepNext w:val="0"/>
              <w:keepLines w:val="0"/>
              <w:pageBreakBefore w:val="0"/>
              <w:widowControl w:val="0"/>
              <w:suppressLineNumbers w:val="0"/>
              <w:kinsoku/>
              <w:wordWrap/>
              <w:overflowPunct/>
              <w:topLinePunct w:val="0"/>
              <w:bidi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w:t>
            </w:r>
          </w:p>
        </w:tc>
        <w:tc>
          <w:tcPr>
            <w:tcW w:w="1184"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LD50900mg/kg（兔经口）；LC503124ppm，1小时(大鼠吸入)。接触其蒸气或烟雾，可引起急性中毒：出现眼结膜炎，鼻及口腔粘膜有烧灼感，鼻出血、齿龈出血，气管炎等。误服可引起消化道灼伤、溃疡形成，有可能引起胃穿孔、腹膜炎等。眼和皮肤接触可致灼伤。</w:t>
            </w:r>
          </w:p>
        </w:tc>
        <w:tc>
          <w:tcPr>
            <w:tcW w:w="226" w:type="pct"/>
            <w:tcBorders>
              <w:tl2br w:val="nil"/>
              <w:tr2bl w:val="nil"/>
            </w:tcBorders>
            <w:vAlign w:val="center"/>
          </w:tcPr>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ind w:left="0" w:right="0" w:firstLine="0" w:firstLineChars="0"/>
              <w:jc w:val="left"/>
              <w:textAlignment w:val="auto"/>
              <w:rPr>
                <w:rFonts w:hint="eastAsia" w:ascii="宋体" w:hAnsi="宋体" w:eastAsia="宋体" w:cs="宋体"/>
                <w:sz w:val="18"/>
                <w:szCs w:val="18"/>
              </w:rPr>
            </w:pPr>
            <w:r>
              <w:rPr>
                <w:rFonts w:hint="eastAsia" w:ascii="宋体" w:hAnsi="宋体" w:eastAsia="宋体" w:cs="宋体"/>
                <w:sz w:val="18"/>
                <w:szCs w:val="18"/>
              </w:rPr>
              <w:t>Ⅲ</w:t>
            </w:r>
          </w:p>
        </w:tc>
      </w:tr>
    </w:tbl>
    <w:p>
      <w:pPr>
        <w:pStyle w:val="12"/>
        <w:rPr>
          <w:rFonts w:hint="eastAsia"/>
          <w:lang w:val="en-US" w:eastAsia="zh-CN"/>
        </w:rPr>
        <w:sectPr>
          <w:pgSz w:w="16783" w:h="11850" w:orient="landscape"/>
          <w:pgMar w:top="1800" w:right="1440" w:bottom="1800" w:left="1440" w:header="851" w:footer="964" w:gutter="0"/>
          <w:pgBorders w:offsetFrom="page">
            <w:top w:val="none" w:sz="0" w:space="0"/>
            <w:left w:val="none" w:sz="0" w:space="0"/>
            <w:bottom w:val="none" w:sz="0" w:space="0"/>
            <w:right w:val="none" w:sz="0" w:space="0"/>
          </w:pgBorders>
          <w:pgNumType w:fmt="decimal"/>
          <w:cols w:space="720" w:num="1"/>
          <w:docGrid w:type="linesAndChars" w:linePitch="466" w:charSpace="3430"/>
        </w:sectPr>
      </w:pPr>
    </w:p>
    <w:p>
      <w:pPr>
        <w:pStyle w:val="5"/>
        <w:bidi w:val="0"/>
        <w:rPr>
          <w:rFonts w:hint="eastAsia"/>
          <w:lang w:val="en-US" w:eastAsia="zh-CN"/>
        </w:rPr>
      </w:pPr>
      <w:bookmarkStart w:id="197" w:name="_Toc16659"/>
      <w:r>
        <w:rPr>
          <w:rFonts w:hint="eastAsia"/>
          <w:lang w:val="en-US" w:eastAsia="zh-CN"/>
        </w:rPr>
        <w:t>3.5.2风险单元识别</w:t>
      </w:r>
      <w:bookmarkEnd w:id="194"/>
      <w:bookmarkEnd w:id="195"/>
      <w:bookmarkEnd w:id="196"/>
      <w:bookmarkEnd w:id="197"/>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本项目生产设施操作参数情况汇总情况见表</w:t>
      </w:r>
      <w:r>
        <w:rPr>
          <w:rFonts w:hint="eastAsia" w:ascii="Times New Roman" w:hAnsi="Times New Roman" w:cs="Times New Roman"/>
          <w:sz w:val="24"/>
          <w:lang w:val="en-US" w:eastAsia="zh-CN"/>
        </w:rPr>
        <w:t>3.5-5</w:t>
      </w:r>
      <w:r>
        <w:rPr>
          <w:rFonts w:hint="eastAsia"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cs="Times New Roman"/>
          <w:b/>
          <w:sz w:val="24"/>
          <w:szCs w:val="24"/>
        </w:rPr>
      </w:pPr>
      <w:r>
        <w:rPr>
          <w:rFonts w:hint="default" w:ascii="Times New Roman" w:hAnsi="Times New Roman" w:cs="Times New Roman"/>
          <w:b/>
          <w:kern w:val="0"/>
          <w:sz w:val="24"/>
          <w:szCs w:val="24"/>
        </w:rPr>
        <w:t>表</w:t>
      </w:r>
      <w:r>
        <w:rPr>
          <w:rFonts w:hint="default" w:ascii="Times New Roman" w:hAnsi="Times New Roman" w:cs="Times New Roman"/>
          <w:b/>
          <w:kern w:val="0"/>
          <w:sz w:val="24"/>
          <w:szCs w:val="24"/>
          <w:lang w:val="en-US" w:eastAsia="zh-CN"/>
        </w:rPr>
        <w:t>3.</w:t>
      </w:r>
      <w:r>
        <w:rPr>
          <w:rFonts w:hint="eastAsia" w:ascii="Times New Roman" w:hAnsi="Times New Roman" w:cs="Times New Roman"/>
          <w:b/>
          <w:kern w:val="0"/>
          <w:sz w:val="24"/>
          <w:szCs w:val="24"/>
          <w:lang w:val="en-US" w:eastAsia="zh-CN"/>
        </w:rPr>
        <w:t>5</w:t>
      </w:r>
      <w:r>
        <w:rPr>
          <w:rFonts w:hint="default" w:ascii="Times New Roman" w:hAnsi="Times New Roman" w:cs="Times New Roman"/>
          <w:b/>
          <w:kern w:val="0"/>
          <w:sz w:val="24"/>
          <w:szCs w:val="24"/>
          <w:lang w:val="en-US" w:eastAsia="zh-CN"/>
        </w:rPr>
        <w:t>-</w:t>
      </w:r>
      <w:r>
        <w:rPr>
          <w:rFonts w:hint="eastAsia" w:ascii="Times New Roman" w:hAnsi="Times New Roman" w:cs="Times New Roman"/>
          <w:b/>
          <w:kern w:val="0"/>
          <w:sz w:val="24"/>
          <w:szCs w:val="24"/>
          <w:lang w:val="en-US" w:eastAsia="zh-CN"/>
        </w:rPr>
        <w:t>5</w:t>
      </w:r>
      <w:r>
        <w:rPr>
          <w:rFonts w:hint="default" w:ascii="Times New Roman" w:hAnsi="Times New Roman" w:cs="Times New Roman"/>
          <w:b/>
          <w:kern w:val="0"/>
          <w:sz w:val="24"/>
          <w:szCs w:val="24"/>
          <w:lang w:val="en-US" w:eastAsia="zh-CN"/>
        </w:rPr>
        <w:t xml:space="preserve">   </w:t>
      </w:r>
      <w:r>
        <w:rPr>
          <w:rFonts w:hint="default" w:ascii="Times New Roman" w:hAnsi="Times New Roman" w:cs="Times New Roman"/>
          <w:b/>
          <w:kern w:val="0"/>
          <w:sz w:val="24"/>
          <w:szCs w:val="24"/>
        </w:rPr>
        <w:t>生产设施设备及其操作参数</w:t>
      </w:r>
    </w:p>
    <w:tbl>
      <w:tblPr>
        <w:tblStyle w:val="21"/>
        <w:tblW w:w="4998"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25"/>
        <w:gridCol w:w="1445"/>
        <w:gridCol w:w="1769"/>
        <w:gridCol w:w="1929"/>
        <w:gridCol w:w="1125"/>
        <w:gridCol w:w="112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装置名称</w:t>
            </w: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单元名称</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设备名称</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操作介质</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温度</w:t>
            </w:r>
          </w:p>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压力</w:t>
            </w:r>
          </w:p>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（MPa）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常压蒸馏</w:t>
            </w: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原油换热及闪蒸</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电脱盐罐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原油</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150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闪蒸塔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原油、闪顶气、石脑油、初底油</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193</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常压塔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初底油</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365</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蒸馏</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常压塔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初底油、常顶油气、煤油、柴油馏分、常压渣油</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363</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常压汽提塔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常压侧线油、油气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245</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催化裂化</w:t>
            </w: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反应</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提升管反应器</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油气、催化剂</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550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0.32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分馏</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分馏塔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汽油、柴油、油气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365</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吸收稳定</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稳定塔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液化气、汽油</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180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气压机</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富气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92</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产品精制</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液化石油气脱硫塔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气体分馏</w:t>
            </w: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脱丙烷</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原料缓冲罐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液化石油气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脱丙烷塔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脱硫液化石油气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110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脱乙烷</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脱乙烷塔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乙烷、丙烷和丙烯</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65</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丙烯/丙</w:t>
            </w:r>
          </w:p>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烷分离</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丙烯塔-1</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丙烯、丙烷</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61</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丙烯塔回流罐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50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MTBE</w:t>
            </w: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预处理</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碳四缓冲罐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碳四</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反应及产</w:t>
            </w:r>
          </w:p>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品分离</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预反应器</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C4、甲醇、MTBE</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催化蒸馏塔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C4、甲醇、MTBE</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135</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甲醇回收</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甲醇回收塔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甲醇、贫萃取水、碳四</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124</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连续重整</w:t>
            </w: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预处理</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预加氢反应器</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、油气、H</w:t>
            </w:r>
            <w:r>
              <w:rPr>
                <w:rFonts w:hint="default" w:ascii="Times New Roman" w:hAnsi="Times New Roman" w:eastAsia="宋体" w:cs="Times New Roman"/>
                <w:sz w:val="18"/>
                <w:szCs w:val="18"/>
                <w:vertAlign w:val="subscript"/>
              </w:rPr>
              <w:t>2</w:t>
            </w:r>
            <w:r>
              <w:rPr>
                <w:rFonts w:hint="default" w:ascii="Times New Roman" w:hAnsi="Times New Roman" w:eastAsia="宋体" w:cs="Times New Roman"/>
                <w:sz w:val="18"/>
                <w:szCs w:val="18"/>
              </w:rPr>
              <w:t>S</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320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预加氢产物分离罐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烃、氢气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重整反应</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重整反应器</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氢气、油气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549</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重整产物分离罐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烃、氢气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0.24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压缩机</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重整循环氢压缩机</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循环氢</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108</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0.57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重整氢增压机</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重整产氢</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114</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加热炉</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预加氢进料加热炉</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氢气、油气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340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四合一加热炉</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氢气、油气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549</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0.53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苯抽提</w:t>
            </w: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抽提蒸馏</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抽提塔进料缓冲罐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C</w:t>
            </w:r>
            <w:r>
              <w:rPr>
                <w:rFonts w:hint="default" w:ascii="Times New Roman" w:hAnsi="Times New Roman" w:eastAsia="宋体" w:cs="Times New Roman"/>
                <w:kern w:val="0"/>
                <w:sz w:val="18"/>
                <w:szCs w:val="18"/>
                <w:vertAlign w:val="subscript"/>
              </w:rPr>
              <w:t xml:space="preserve">6 </w:t>
            </w:r>
            <w:r>
              <w:rPr>
                <w:rFonts w:hint="default" w:ascii="Times New Roman" w:hAnsi="Times New Roman" w:eastAsia="宋体" w:cs="Times New Roman"/>
                <w:kern w:val="0"/>
                <w:sz w:val="18"/>
                <w:szCs w:val="18"/>
              </w:rPr>
              <w:t>馏分</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常压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溶剂回收</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溶剂回收塔 苯</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苯、溶剂</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174</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-0.04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溶剂回收塔回流罐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苯</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-0.06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苯精制</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苯检验罐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苯</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常压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氢提纯</w:t>
            </w: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变压吸附</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吸附塔Ⅰ</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混合原料气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原料气分液罐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混合原料气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压缩机</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解析气压缩机</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解析气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氢压缩机</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6.2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煤柴油加</w:t>
            </w:r>
          </w:p>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氢精制</w:t>
            </w:r>
          </w:p>
        </w:tc>
        <w:tc>
          <w:tcPr>
            <w:tcW w:w="848" w:type="pct"/>
            <w:vMerge w:val="restar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柴油加</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氢反应</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柴油加氢精制反应器</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柴油、H</w:t>
            </w:r>
            <w:r>
              <w:rPr>
                <w:rFonts w:hint="default" w:ascii="Times New Roman" w:hAnsi="Times New Roman" w:eastAsia="宋体" w:cs="Times New Roman"/>
                <w:kern w:val="0"/>
                <w:sz w:val="18"/>
                <w:szCs w:val="18"/>
                <w:vertAlign w:val="subscript"/>
              </w:rPr>
              <w:t>2</w:t>
            </w:r>
            <w:r>
              <w:rPr>
                <w:rFonts w:hint="default" w:ascii="Times New Roman" w:hAnsi="Times New Roman" w:eastAsia="宋体" w:cs="Times New Roman"/>
                <w:kern w:val="0"/>
                <w:sz w:val="18"/>
                <w:szCs w:val="18"/>
              </w:rPr>
              <w:t>、H</w:t>
            </w:r>
            <w:r>
              <w:rPr>
                <w:rFonts w:hint="default" w:ascii="Times New Roman" w:hAnsi="Times New Roman" w:eastAsia="宋体" w:cs="Times New Roman"/>
                <w:kern w:val="0"/>
                <w:sz w:val="18"/>
                <w:szCs w:val="18"/>
                <w:vertAlign w:val="subscript"/>
              </w:rPr>
              <w:t>2</w:t>
            </w:r>
            <w:r>
              <w:rPr>
                <w:rFonts w:hint="default" w:ascii="Times New Roman" w:hAnsi="Times New Roman" w:eastAsia="宋体" w:cs="Times New Roman"/>
                <w:kern w:val="0"/>
                <w:sz w:val="18"/>
                <w:szCs w:val="18"/>
              </w:rPr>
              <w:t>S</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389</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柴油加氢降凝反应器</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精制反应产物、H</w:t>
            </w:r>
            <w:r>
              <w:rPr>
                <w:rFonts w:hint="default" w:ascii="Times New Roman" w:hAnsi="Times New Roman" w:eastAsia="宋体" w:cs="Times New Roman"/>
                <w:kern w:val="0"/>
                <w:sz w:val="18"/>
                <w:szCs w:val="18"/>
                <w:vertAlign w:val="subscript"/>
              </w:rPr>
              <w:t>2</w:t>
            </w:r>
            <w:r>
              <w:rPr>
                <w:rFonts w:hint="default" w:ascii="Times New Roman" w:hAnsi="Times New Roman" w:eastAsia="宋体" w:cs="Times New Roman"/>
                <w:kern w:val="0"/>
                <w:sz w:val="18"/>
                <w:szCs w:val="18"/>
              </w:rPr>
              <w:t>、H</w:t>
            </w:r>
            <w:r>
              <w:rPr>
                <w:rFonts w:hint="default" w:ascii="Times New Roman" w:hAnsi="Times New Roman" w:eastAsia="宋体" w:cs="Times New Roman"/>
                <w:kern w:val="0"/>
                <w:sz w:val="18"/>
                <w:szCs w:val="18"/>
                <w:vertAlign w:val="subscript"/>
              </w:rPr>
              <w:t>2</w:t>
            </w:r>
            <w:r>
              <w:rPr>
                <w:rFonts w:hint="default" w:ascii="Times New Roman" w:hAnsi="Times New Roman" w:eastAsia="宋体" w:cs="Times New Roman"/>
                <w:kern w:val="0"/>
                <w:sz w:val="18"/>
                <w:szCs w:val="18"/>
              </w:rPr>
              <w:t>S</w:t>
            </w:r>
          </w:p>
        </w:tc>
        <w:tc>
          <w:tcPr>
            <w:tcW w:w="660" w:type="pc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388</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煤油加氢反应</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煤油加氢精制反应器</w:t>
            </w:r>
          </w:p>
        </w:tc>
        <w:tc>
          <w:tcPr>
            <w:tcW w:w="1132" w:type="pc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煤油、氢气、硫化</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氢</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282</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压缩机</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柴油加氢新氢压缩机</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130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柴油加氢循环氢压缩机</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146</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restar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加热炉</w:t>
            </w:r>
          </w:p>
        </w:tc>
        <w:tc>
          <w:tcPr>
            <w:tcW w:w="1038" w:type="pc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柴油加氢反应进料加热炉</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柴油、氢气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365</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煤油加氢反应</w:t>
            </w:r>
          </w:p>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进料加热炉</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煤油、氢气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280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柴油加</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氢改质</w:t>
            </w:r>
          </w:p>
        </w:tc>
        <w:tc>
          <w:tcPr>
            <w:tcW w:w="848" w:type="pct"/>
            <w:vMerge w:val="restar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反应</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加氢精制反应器</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柴油、H</w:t>
            </w:r>
            <w:r>
              <w:rPr>
                <w:rFonts w:hint="default" w:ascii="Times New Roman" w:hAnsi="Times New Roman" w:eastAsia="宋体" w:cs="Times New Roman"/>
                <w:kern w:val="0"/>
                <w:sz w:val="18"/>
                <w:szCs w:val="18"/>
                <w:vertAlign w:val="subscript"/>
              </w:rPr>
              <w:t>2</w:t>
            </w:r>
            <w:r>
              <w:rPr>
                <w:rFonts w:hint="default" w:ascii="Times New Roman" w:hAnsi="Times New Roman" w:eastAsia="宋体" w:cs="Times New Roman"/>
                <w:kern w:val="0"/>
                <w:sz w:val="18"/>
                <w:szCs w:val="18"/>
              </w:rPr>
              <w:t>、H</w:t>
            </w:r>
            <w:r>
              <w:rPr>
                <w:rFonts w:hint="default" w:ascii="Times New Roman" w:hAnsi="Times New Roman" w:eastAsia="宋体" w:cs="Times New Roman"/>
                <w:kern w:val="0"/>
                <w:sz w:val="18"/>
                <w:szCs w:val="18"/>
                <w:vertAlign w:val="subscript"/>
              </w:rPr>
              <w:t>2</w:t>
            </w:r>
            <w:r>
              <w:rPr>
                <w:rFonts w:hint="default" w:ascii="Times New Roman" w:hAnsi="Times New Roman" w:eastAsia="宋体" w:cs="Times New Roman"/>
                <w:kern w:val="0"/>
                <w:sz w:val="18"/>
                <w:szCs w:val="18"/>
              </w:rPr>
              <w:t>S</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410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11.5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1038" w:type="pc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highlight w:val="none"/>
              </w:rPr>
            </w:pPr>
            <w:r>
              <w:rPr>
                <w:rFonts w:hint="default" w:ascii="Times New Roman" w:hAnsi="Times New Roman" w:eastAsia="宋体" w:cs="Times New Roman"/>
                <w:kern w:val="0"/>
                <w:sz w:val="18"/>
                <w:szCs w:val="18"/>
                <w:highlight w:val="none"/>
              </w:rPr>
              <w:t>反应流出物/混合进料换热器</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highlight w:val="none"/>
              </w:rPr>
            </w:pPr>
            <w:r>
              <w:rPr>
                <w:rFonts w:hint="default" w:ascii="Times New Roman" w:hAnsi="Times New Roman" w:eastAsia="宋体" w:cs="Times New Roman"/>
                <w:kern w:val="0"/>
                <w:sz w:val="18"/>
                <w:szCs w:val="18"/>
                <w:highlight w:val="none"/>
              </w:rPr>
              <w:t>柴油、氢气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highlight w:val="none"/>
              </w:rPr>
            </w:pPr>
            <w:r>
              <w:rPr>
                <w:rFonts w:hint="default" w:ascii="Times New Roman" w:hAnsi="Times New Roman" w:eastAsia="宋体" w:cs="Times New Roman"/>
                <w:kern w:val="0"/>
                <w:sz w:val="18"/>
                <w:szCs w:val="18"/>
                <w:highlight w:val="none"/>
              </w:rPr>
              <w:t>397</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highlight w:val="none"/>
              </w:rPr>
            </w:pPr>
            <w:r>
              <w:rPr>
                <w:rFonts w:hint="default" w:ascii="Times New Roman" w:hAnsi="Times New Roman" w:eastAsia="宋体" w:cs="Times New Roman"/>
                <w:kern w:val="0"/>
                <w:sz w:val="18"/>
                <w:szCs w:val="18"/>
                <w:highlight w:val="none"/>
              </w:rPr>
              <w:t>10.4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分馏</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分馏塔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柴油、石脑油</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289</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0.17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压缩机</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新氢/循环氢压缩机</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130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11.8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加热炉</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highlight w:val="none"/>
              </w:rPr>
            </w:pPr>
            <w:r>
              <w:rPr>
                <w:rFonts w:hint="default" w:ascii="Times New Roman" w:hAnsi="Times New Roman" w:eastAsia="宋体" w:cs="Times New Roman"/>
                <w:kern w:val="0"/>
                <w:sz w:val="18"/>
                <w:szCs w:val="18"/>
                <w:highlight w:val="none"/>
              </w:rPr>
              <w:t>反应进料加热炉</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highlight w:val="none"/>
              </w:rPr>
            </w:pPr>
            <w:r>
              <w:rPr>
                <w:rFonts w:hint="default" w:ascii="Times New Roman" w:hAnsi="Times New Roman" w:eastAsia="宋体" w:cs="Times New Roman"/>
                <w:kern w:val="0"/>
                <w:sz w:val="18"/>
                <w:szCs w:val="18"/>
                <w:highlight w:val="none"/>
              </w:rPr>
              <w:t>柴油、氢气</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highlight w:val="none"/>
              </w:rPr>
            </w:pPr>
            <w:r>
              <w:rPr>
                <w:rFonts w:hint="default" w:ascii="Times New Roman" w:hAnsi="Times New Roman" w:eastAsia="宋体" w:cs="Times New Roman"/>
                <w:kern w:val="0"/>
                <w:sz w:val="18"/>
                <w:szCs w:val="18"/>
                <w:highlight w:val="none"/>
              </w:rPr>
              <w:t>341</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highlight w:val="none"/>
              </w:rPr>
            </w:pPr>
            <w:r>
              <w:rPr>
                <w:rFonts w:hint="default" w:ascii="Times New Roman" w:hAnsi="Times New Roman" w:eastAsia="宋体" w:cs="Times New Roman"/>
                <w:kern w:val="0"/>
                <w:sz w:val="18"/>
                <w:szCs w:val="18"/>
                <w:highlight w:val="none"/>
              </w:rPr>
              <w:t>11.8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restar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聚丙烯装</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置</w:t>
            </w:r>
          </w:p>
        </w:tc>
        <w:tc>
          <w:tcPr>
            <w:tcW w:w="848" w:type="pc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催化剂配</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制单元</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三乙基铝罐</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三乙基铝</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聚合单元</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聚合反应器</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丙烯、聚丙烯</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210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60" w:type="pct"/>
            <w:vMerge w:val="continue"/>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p>
        </w:tc>
        <w:tc>
          <w:tcPr>
            <w:tcW w:w="848" w:type="pct"/>
            <w:vAlign w:val="center"/>
          </w:tcPr>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丙烯回收</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ind w:left="0" w:right="0"/>
              <w:jc w:val="center"/>
              <w:textAlignment w:val="auto"/>
              <w:rPr>
                <w:rFonts w:hint="default" w:ascii="Times New Roman" w:hAnsi="Times New Roman" w:eastAsia="宋体" w:cs="Times New Roman"/>
                <w:kern w:val="0"/>
                <w:sz w:val="18"/>
                <w:szCs w:val="18"/>
              </w:rPr>
            </w:pPr>
            <w:r>
              <w:rPr>
                <w:rFonts w:hint="default" w:ascii="Times New Roman" w:hAnsi="Times New Roman" w:eastAsia="宋体" w:cs="Times New Roman"/>
                <w:kern w:val="0"/>
                <w:sz w:val="18"/>
                <w:szCs w:val="18"/>
              </w:rPr>
              <w:t>单元</w:t>
            </w:r>
          </w:p>
        </w:tc>
        <w:tc>
          <w:tcPr>
            <w:tcW w:w="1038"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循环丙烯洗涤塔</w:t>
            </w:r>
          </w:p>
        </w:tc>
        <w:tc>
          <w:tcPr>
            <w:tcW w:w="1132"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丙烯</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50</w:t>
            </w:r>
          </w:p>
        </w:tc>
        <w:tc>
          <w:tcPr>
            <w:tcW w:w="660" w:type="pct"/>
            <w:vAlign w:val="center"/>
          </w:tcPr>
          <w:p>
            <w:pPr>
              <w:keepNext w:val="0"/>
              <w:keepLines w:val="0"/>
              <w:pageBreakBefore w:val="0"/>
              <w:widowControl w:val="0"/>
              <w:suppressLineNumbers w:val="0"/>
              <w:kinsoku/>
              <w:wordWrap/>
              <w:overflowPunct/>
              <w:topLinePunct w:val="0"/>
              <w:bidi w:val="0"/>
              <w:snapToGrid/>
              <w:spacing w:before="0" w:beforeAutospacing="0" w:after="0" w:afterAutospacing="0"/>
              <w:ind w:left="0" w:right="0"/>
              <w:jc w:val="center"/>
              <w:textAlignment w:val="auto"/>
              <w:rPr>
                <w:rFonts w:hint="default" w:ascii="Times New Roman" w:hAnsi="Times New Roman" w:eastAsia="宋体" w:cs="Times New Roman"/>
                <w:sz w:val="18"/>
                <w:szCs w:val="18"/>
              </w:rPr>
            </w:pPr>
            <w:r>
              <w:rPr>
                <w:rFonts w:hint="default" w:ascii="Times New Roman" w:hAnsi="Times New Roman" w:eastAsia="宋体" w:cs="Times New Roman"/>
                <w:kern w:val="0"/>
                <w:sz w:val="18"/>
                <w:szCs w:val="18"/>
              </w:rPr>
              <w:t>1.2</w:t>
            </w:r>
          </w:p>
        </w:tc>
      </w:tr>
    </w:tbl>
    <w:p>
      <w:pPr>
        <w:pStyle w:val="5"/>
        <w:bidi w:val="0"/>
        <w:rPr>
          <w:rFonts w:hint="eastAsia"/>
          <w:lang w:val="en-US" w:eastAsia="zh-CN"/>
        </w:rPr>
      </w:pPr>
      <w:bookmarkStart w:id="198" w:name="_Toc29030"/>
      <w:bookmarkStart w:id="199" w:name="_Toc22542"/>
      <w:r>
        <w:rPr>
          <w:rFonts w:hint="default"/>
          <w:lang w:val="en-US" w:eastAsia="zh-CN"/>
        </w:rPr>
        <w:t>3.</w:t>
      </w:r>
      <w:r>
        <w:rPr>
          <w:rFonts w:hint="eastAsia"/>
          <w:lang w:val="en-US" w:eastAsia="zh-CN"/>
        </w:rPr>
        <w:t>5</w:t>
      </w:r>
      <w:r>
        <w:rPr>
          <w:rFonts w:hint="default"/>
          <w:lang w:val="en-US" w:eastAsia="zh-CN"/>
        </w:rPr>
        <w:t>.</w:t>
      </w:r>
      <w:r>
        <w:rPr>
          <w:rFonts w:hint="eastAsia"/>
          <w:lang w:val="en-US" w:eastAsia="zh-CN"/>
        </w:rPr>
        <w:t>3生产工艺和设施风险识别</w:t>
      </w:r>
      <w:bookmarkEnd w:id="198"/>
      <w:bookmarkEnd w:id="199"/>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eastAsia" w:cs="Times New Roman" w:asciiTheme="minorEastAsia" w:hAnsiTheme="minorEastAsia"/>
          <w:color w:val="auto"/>
        </w:rPr>
      </w:pPr>
      <w:r>
        <w:rPr>
          <w:rFonts w:hint="eastAsia" w:cs="Times New Roman" w:asciiTheme="minorEastAsia" w:hAnsiTheme="minorEastAsia"/>
          <w:color w:val="auto"/>
          <w:lang w:eastAsia="zh-CN"/>
        </w:rPr>
        <w:t>（</w:t>
      </w:r>
      <w:r>
        <w:rPr>
          <w:rFonts w:hint="eastAsia" w:cs="Times New Roman" w:asciiTheme="minorEastAsia" w:hAnsiTheme="minorEastAsia"/>
          <w:color w:val="auto"/>
          <w:lang w:val="en-US" w:eastAsia="zh-CN"/>
        </w:rPr>
        <w:t>1</w:t>
      </w:r>
      <w:r>
        <w:rPr>
          <w:rFonts w:hint="eastAsia" w:cs="Times New Roman" w:asciiTheme="minorEastAsia" w:hAnsiTheme="minorEastAsia"/>
          <w:color w:val="auto"/>
          <w:lang w:eastAsia="zh-CN"/>
        </w:rPr>
        <w:t>）</w:t>
      </w:r>
      <w:r>
        <w:rPr>
          <w:rFonts w:hint="eastAsia" w:cs="Times New Roman" w:asciiTheme="minorEastAsia" w:hAnsiTheme="minorEastAsia"/>
          <w:color w:val="auto"/>
        </w:rPr>
        <w:t>生产装置使用的水、电、汽、风和原料供应突然中断或发生泄漏，可能造成装置生产工况异常，进而引发爆炸着火、环境污染等事故。</w:t>
      </w:r>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eastAsia" w:cs="Times New Roman" w:asciiTheme="minorEastAsia" w:hAnsiTheme="minorEastAsia"/>
          <w:color w:val="auto"/>
        </w:rPr>
      </w:pPr>
      <w:r>
        <w:rPr>
          <w:rFonts w:hint="eastAsia" w:cs="Times New Roman" w:asciiTheme="minorEastAsia" w:hAnsiTheme="minorEastAsia"/>
          <w:color w:val="auto"/>
          <w:lang w:eastAsia="zh-CN"/>
        </w:rPr>
        <w:t>（</w:t>
      </w:r>
      <w:r>
        <w:rPr>
          <w:rFonts w:hint="eastAsia" w:cs="Times New Roman" w:asciiTheme="minorEastAsia" w:hAnsiTheme="minorEastAsia"/>
          <w:color w:val="auto"/>
          <w:lang w:val="en-US" w:eastAsia="zh-CN"/>
        </w:rPr>
        <w:t>2</w:t>
      </w:r>
      <w:r>
        <w:rPr>
          <w:rFonts w:hint="eastAsia" w:cs="Times New Roman" w:asciiTheme="minorEastAsia" w:hAnsiTheme="minorEastAsia"/>
          <w:color w:val="auto"/>
          <w:lang w:eastAsia="zh-CN"/>
        </w:rPr>
        <w:t>）</w:t>
      </w:r>
      <w:r>
        <w:rPr>
          <w:rFonts w:hint="eastAsia" w:cs="Times New Roman" w:asciiTheme="minorEastAsia" w:hAnsiTheme="minorEastAsia"/>
          <w:color w:val="auto"/>
        </w:rPr>
        <w:t>生产装置中有众多的压力管道、压力容器、起重机械等特种设备，由于可能出现设备超负荷运转、保养不当、密封不良、应力集中、材质缺陷、操作不当等问题，可能导致危险化学品泄漏、爆炸着火</w:t>
      </w:r>
      <w:r>
        <w:rPr>
          <w:rFonts w:hint="eastAsia" w:cs="Times New Roman" w:asciiTheme="minorEastAsia" w:hAnsiTheme="minorEastAsia"/>
          <w:color w:val="auto"/>
          <w:lang w:eastAsia="zh-CN"/>
        </w:rPr>
        <w:t>，</w:t>
      </w:r>
      <w:r>
        <w:rPr>
          <w:rFonts w:hint="eastAsia" w:cs="Times New Roman" w:asciiTheme="minorEastAsia" w:hAnsiTheme="minorEastAsia"/>
          <w:color w:val="auto"/>
          <w:lang w:val="en-US" w:eastAsia="zh-CN"/>
        </w:rPr>
        <w:t>同时对</w:t>
      </w:r>
      <w:r>
        <w:rPr>
          <w:rFonts w:hint="eastAsia" w:cs="Times New Roman" w:asciiTheme="minorEastAsia" w:hAnsiTheme="minorEastAsia"/>
          <w:color w:val="auto"/>
        </w:rPr>
        <w:t>环境</w:t>
      </w:r>
      <w:r>
        <w:rPr>
          <w:rFonts w:hint="eastAsia" w:cs="Times New Roman" w:asciiTheme="minorEastAsia" w:hAnsiTheme="minorEastAsia"/>
          <w:color w:val="auto"/>
          <w:lang w:val="en-US" w:eastAsia="zh-CN"/>
        </w:rPr>
        <w:t>造成污染</w:t>
      </w:r>
      <w:r>
        <w:rPr>
          <w:rFonts w:hint="eastAsia" w:cs="Times New Roman" w:asciiTheme="minorEastAsia" w:hAnsiTheme="minorEastAsia"/>
          <w:color w:val="auto"/>
        </w:rPr>
        <w:t>污染</w:t>
      </w:r>
      <w:r>
        <w:rPr>
          <w:rFonts w:hint="eastAsia" w:cs="Times New Roman" w:asciiTheme="minorEastAsia" w:hAnsiTheme="minorEastAsia"/>
          <w:color w:val="auto"/>
          <w:lang w:val="en-US" w:eastAsia="zh-CN"/>
        </w:rPr>
        <w:t>事故</w:t>
      </w:r>
      <w:r>
        <w:rPr>
          <w:rFonts w:hint="eastAsia" w:cs="Times New Roman" w:asciiTheme="minorEastAsia" w:hAnsiTheme="minorEastAsia"/>
          <w:color w:val="auto"/>
        </w:rPr>
        <w:t>。</w:t>
      </w:r>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eastAsia" w:cs="Times New Roman" w:asciiTheme="minorEastAsia" w:hAnsiTheme="minorEastAsia"/>
          <w:color w:val="auto"/>
        </w:rPr>
      </w:pPr>
      <w:r>
        <w:rPr>
          <w:rFonts w:hint="eastAsia" w:cs="Times New Roman" w:asciiTheme="minorEastAsia" w:hAnsiTheme="minorEastAsia"/>
          <w:color w:val="auto"/>
          <w:lang w:eastAsia="zh-CN"/>
        </w:rPr>
        <w:t>（</w:t>
      </w:r>
      <w:r>
        <w:rPr>
          <w:rFonts w:hint="eastAsia" w:cs="Times New Roman" w:asciiTheme="minorEastAsia" w:hAnsiTheme="minorEastAsia"/>
          <w:color w:val="auto"/>
          <w:lang w:val="en-US" w:eastAsia="zh-CN"/>
        </w:rPr>
        <w:t>3</w:t>
      </w:r>
      <w:r>
        <w:rPr>
          <w:rFonts w:hint="eastAsia" w:cs="Times New Roman" w:asciiTheme="minorEastAsia" w:hAnsiTheme="minorEastAsia"/>
          <w:color w:val="auto"/>
          <w:lang w:eastAsia="zh-CN"/>
        </w:rPr>
        <w:t>）</w:t>
      </w:r>
      <w:r>
        <w:rPr>
          <w:rFonts w:hint="eastAsia" w:cs="Times New Roman" w:asciiTheme="minorEastAsia" w:hAnsiTheme="minorEastAsia"/>
          <w:color w:val="auto"/>
          <w:lang w:val="en-US" w:eastAsia="zh-CN"/>
        </w:rPr>
        <w:t>罐区</w:t>
      </w:r>
      <w:r>
        <w:rPr>
          <w:rFonts w:hint="eastAsia" w:cs="Times New Roman" w:asciiTheme="minorEastAsia" w:hAnsiTheme="minorEastAsia"/>
          <w:color w:val="auto"/>
        </w:rPr>
        <w:t>集中储存了大量易燃、易爆物品，可能导致自身及其周边装置发生爆炸着火，并且还可能波及周边人民群众安全。</w:t>
      </w:r>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eastAsia" w:cs="Times New Roman" w:asciiTheme="minorEastAsia" w:hAnsiTheme="minorEastAsia"/>
          <w:color w:val="auto"/>
        </w:rPr>
      </w:pPr>
      <w:r>
        <w:rPr>
          <w:rFonts w:hint="eastAsia" w:cs="Times New Roman" w:asciiTheme="minorEastAsia" w:hAnsiTheme="minorEastAsia"/>
          <w:color w:val="auto"/>
          <w:lang w:eastAsia="zh-CN"/>
        </w:rPr>
        <w:t>（</w:t>
      </w:r>
      <w:r>
        <w:rPr>
          <w:rFonts w:hint="eastAsia" w:cs="Times New Roman" w:asciiTheme="minorEastAsia" w:hAnsiTheme="minorEastAsia"/>
          <w:color w:val="auto"/>
          <w:lang w:val="en-US" w:eastAsia="zh-CN"/>
        </w:rPr>
        <w:t>4</w:t>
      </w:r>
      <w:r>
        <w:rPr>
          <w:rFonts w:hint="eastAsia" w:cs="Times New Roman" w:asciiTheme="minorEastAsia" w:hAnsiTheme="minorEastAsia"/>
          <w:color w:val="auto"/>
          <w:lang w:eastAsia="zh-CN"/>
        </w:rPr>
        <w:t>）</w:t>
      </w:r>
      <w:r>
        <w:rPr>
          <w:rFonts w:hint="eastAsia" w:cs="Times New Roman" w:asciiTheme="minorEastAsia" w:hAnsiTheme="minorEastAsia"/>
          <w:color w:val="auto"/>
        </w:rPr>
        <w:t>储存或运输的危险化学品，由于操作失误、未按程序进行作业等原因，可能造成危险化学品泄漏而引起土壤、大气和水体污染的事故。</w:t>
      </w:r>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eastAsia" w:cs="Times New Roman" w:asciiTheme="minorEastAsia" w:hAnsiTheme="minorEastAsia"/>
          <w:color w:val="auto"/>
        </w:rPr>
      </w:pPr>
      <w:r>
        <w:rPr>
          <w:rFonts w:hint="eastAsia" w:cs="Times New Roman" w:asciiTheme="minorEastAsia" w:hAnsiTheme="minorEastAsia"/>
          <w:color w:val="auto"/>
          <w:lang w:eastAsia="zh-CN"/>
        </w:rPr>
        <w:t>（</w:t>
      </w:r>
      <w:r>
        <w:rPr>
          <w:rFonts w:hint="eastAsia" w:cs="Times New Roman" w:asciiTheme="minorEastAsia" w:hAnsiTheme="minorEastAsia"/>
          <w:color w:val="auto"/>
          <w:lang w:val="en-US" w:eastAsia="zh-CN"/>
        </w:rPr>
        <w:t>5</w:t>
      </w:r>
      <w:r>
        <w:rPr>
          <w:rFonts w:hint="eastAsia" w:cs="Times New Roman" w:asciiTheme="minorEastAsia" w:hAnsiTheme="minorEastAsia"/>
          <w:color w:val="auto"/>
          <w:lang w:eastAsia="zh-CN"/>
        </w:rPr>
        <w:t>）</w:t>
      </w:r>
      <w:r>
        <w:rPr>
          <w:rFonts w:hint="eastAsia" w:cs="Times New Roman" w:asciiTheme="minorEastAsia" w:hAnsiTheme="minorEastAsia"/>
          <w:color w:val="auto"/>
        </w:rPr>
        <w:t>发生重特大火灾、爆炸事故后，产生的有害气体可能对大气环境造成污染；灭火、冷却处置过程中因使用消防水、泡沫药剂，含有消防废水及石油化工物料的污水可能对周边环境、水环境等造成污染。</w:t>
      </w:r>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default" w:cs="Times New Roman" w:asciiTheme="minorEastAsia" w:hAnsiTheme="minorEastAsia" w:eastAsiaTheme="minorEastAsia"/>
          <w:color w:val="auto"/>
          <w:lang w:val="en-US" w:eastAsia="zh-CN"/>
        </w:rPr>
      </w:pPr>
      <w:r>
        <w:rPr>
          <w:rFonts w:hint="eastAsia" w:cs="Times New Roman" w:asciiTheme="minorEastAsia" w:hAnsiTheme="minorEastAsia"/>
          <w:color w:val="auto"/>
          <w:lang w:eastAsia="zh-CN"/>
        </w:rPr>
        <w:t>（</w:t>
      </w:r>
      <w:r>
        <w:rPr>
          <w:rFonts w:hint="eastAsia" w:cs="Times New Roman" w:asciiTheme="minorEastAsia" w:hAnsiTheme="minorEastAsia"/>
          <w:color w:val="auto"/>
          <w:lang w:val="en-US" w:eastAsia="zh-CN"/>
        </w:rPr>
        <w:t>6</w:t>
      </w:r>
      <w:r>
        <w:rPr>
          <w:rFonts w:hint="eastAsia" w:cs="Times New Roman" w:asciiTheme="minorEastAsia" w:hAnsiTheme="minorEastAsia"/>
          <w:color w:val="auto"/>
          <w:lang w:eastAsia="zh-CN"/>
        </w:rPr>
        <w:t>）</w:t>
      </w:r>
      <w:r>
        <w:rPr>
          <w:rFonts w:hint="eastAsia" w:cs="Times New Roman" w:asciiTheme="minorEastAsia" w:hAnsiTheme="minorEastAsia"/>
          <w:color w:val="auto"/>
          <w:lang w:val="en-US" w:eastAsia="zh-CN"/>
        </w:rPr>
        <w:t>重污染天气情况下，废气排放导致环境空气污染加剧。</w:t>
      </w:r>
    </w:p>
    <w:p>
      <w:pPr>
        <w:pStyle w:val="5"/>
        <w:bidi w:val="0"/>
        <w:rPr>
          <w:rFonts w:hint="eastAsia"/>
          <w:lang w:val="en-US" w:eastAsia="zh-CN"/>
        </w:rPr>
      </w:pPr>
      <w:bookmarkStart w:id="200" w:name="_Toc11885"/>
      <w:bookmarkStart w:id="201" w:name="_Toc11373"/>
      <w:r>
        <w:rPr>
          <w:rFonts w:hint="default"/>
          <w:lang w:val="en-US" w:eastAsia="zh-CN"/>
        </w:rPr>
        <w:t>3.</w:t>
      </w:r>
      <w:r>
        <w:rPr>
          <w:rFonts w:hint="eastAsia"/>
          <w:lang w:val="en-US" w:eastAsia="zh-CN"/>
        </w:rPr>
        <w:t>5</w:t>
      </w:r>
      <w:r>
        <w:rPr>
          <w:rFonts w:hint="default"/>
          <w:lang w:val="en-US" w:eastAsia="zh-CN"/>
        </w:rPr>
        <w:t>.</w:t>
      </w:r>
      <w:r>
        <w:rPr>
          <w:rFonts w:hint="eastAsia"/>
          <w:lang w:val="en-US" w:eastAsia="zh-CN"/>
        </w:rPr>
        <w:t>4环保设备风险识别</w:t>
      </w:r>
      <w:bookmarkEnd w:id="200"/>
      <w:bookmarkEnd w:id="201"/>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eastAsia" w:cs="Times New Roman" w:asciiTheme="minorEastAsia" w:hAnsiTheme="minorEastAsia"/>
          <w:color w:val="auto"/>
          <w:lang w:val="en-US" w:eastAsia="zh-CN"/>
        </w:rPr>
      </w:pPr>
      <w:r>
        <w:rPr>
          <w:rFonts w:hint="eastAsia" w:cs="Times New Roman" w:asciiTheme="minorEastAsia" w:hAnsiTheme="minorEastAsia"/>
          <w:color w:val="auto"/>
          <w:lang w:val="en-US" w:eastAsia="zh-CN"/>
        </w:rPr>
        <w:t>（1）污水处理厂故障，导致污水超标排放，对环境空气造成污染。</w:t>
      </w:r>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default" w:cs="Times New Roman" w:asciiTheme="minorEastAsia" w:hAnsiTheme="minorEastAsia"/>
          <w:color w:val="auto"/>
          <w:lang w:val="en-US" w:eastAsia="zh-CN"/>
        </w:rPr>
      </w:pPr>
      <w:r>
        <w:rPr>
          <w:rFonts w:hint="eastAsia" w:cs="Times New Roman" w:asciiTheme="minorEastAsia" w:hAnsiTheme="minorEastAsia"/>
          <w:color w:val="auto"/>
          <w:lang w:val="en-US" w:eastAsia="zh-CN"/>
        </w:rPr>
        <w:t>（2）废气处理设施故障，导致废气超标排放，对环境空气造成污染。</w:t>
      </w:r>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default" w:cs="Times New Roman" w:asciiTheme="minorEastAsia" w:hAnsiTheme="minorEastAsia"/>
          <w:color w:val="auto"/>
          <w:lang w:val="en-US" w:eastAsia="zh-CN"/>
        </w:rPr>
      </w:pPr>
      <w:r>
        <w:rPr>
          <w:rFonts w:hint="eastAsia" w:cs="Times New Roman" w:asciiTheme="minorEastAsia" w:hAnsiTheme="minorEastAsia"/>
          <w:color w:val="auto"/>
          <w:lang w:val="en-US" w:eastAsia="zh-CN"/>
        </w:rPr>
        <w:t>（3）危险废物收集过程中导致危险废物洒落，对周围土壤造成污染。</w:t>
      </w:r>
    </w:p>
    <w:p>
      <w:pPr>
        <w:spacing w:line="240" w:lineRule="auto"/>
        <w:jc w:val="both"/>
        <w:rPr>
          <w:rFonts w:ascii="Times New Roman" w:hAnsi="Times New Roman" w:eastAsia="黑体" w:cs="Times New Roman"/>
          <w:color w:val="auto"/>
          <w:spacing w:val="5"/>
          <w:sz w:val="21"/>
          <w:szCs w:val="21"/>
          <w:highlight w:val="none"/>
        </w:rPr>
      </w:pPr>
    </w:p>
    <w:p>
      <w:pPr>
        <w:pStyle w:val="4"/>
        <w:bidi w:val="0"/>
        <w:rPr>
          <w:rFonts w:hint="eastAsia" w:ascii="宋体" w:hAnsi="宋体" w:eastAsia="宋体" w:cs="宋体"/>
        </w:rPr>
      </w:pPr>
      <w:bookmarkStart w:id="202" w:name="_Toc12490"/>
      <w:bookmarkStart w:id="203" w:name="_Toc1826"/>
      <w:bookmarkStart w:id="204" w:name="_Toc17349"/>
      <w:bookmarkStart w:id="205" w:name="_Toc16564"/>
      <w:bookmarkStart w:id="206" w:name="_Toc26586"/>
      <w:bookmarkStart w:id="207" w:name="_Toc31708"/>
      <w:bookmarkStart w:id="208" w:name="_Toc18954"/>
      <w:bookmarkStart w:id="209" w:name="_Toc10935"/>
      <w:r>
        <w:rPr>
          <w:rFonts w:hint="eastAsia" w:ascii="宋体" w:hAnsi="宋体" w:eastAsia="宋体" w:cs="宋体"/>
          <w:lang w:val="en-US" w:eastAsia="zh-CN"/>
        </w:rPr>
        <w:t>3.6</w:t>
      </w:r>
      <w:r>
        <w:rPr>
          <w:rFonts w:hint="eastAsia" w:ascii="宋体" w:hAnsi="宋体" w:eastAsia="宋体" w:cs="宋体"/>
        </w:rPr>
        <w:t>企业现有的应急措施及物资</w:t>
      </w:r>
      <w:bookmarkEnd w:id="202"/>
      <w:bookmarkEnd w:id="203"/>
      <w:bookmarkEnd w:id="204"/>
      <w:bookmarkEnd w:id="205"/>
      <w:bookmarkEnd w:id="206"/>
      <w:bookmarkEnd w:id="207"/>
      <w:bookmarkEnd w:id="208"/>
      <w:bookmarkEnd w:id="209"/>
    </w:p>
    <w:p>
      <w:pPr>
        <w:pStyle w:val="5"/>
        <w:bidi w:val="0"/>
        <w:rPr>
          <w:rFonts w:hint="eastAsia"/>
        </w:rPr>
      </w:pPr>
      <w:bookmarkStart w:id="210" w:name="_Toc20199"/>
      <w:bookmarkStart w:id="211" w:name="_Toc24352"/>
      <w:bookmarkStart w:id="212" w:name="_Toc1582"/>
      <w:bookmarkStart w:id="213" w:name="_Toc9532"/>
      <w:bookmarkStart w:id="214" w:name="_Toc11077"/>
      <w:r>
        <w:rPr>
          <w:rFonts w:hint="eastAsia"/>
          <w:lang w:val="en-US" w:eastAsia="zh-CN"/>
        </w:rPr>
        <w:t>3.6</w:t>
      </w:r>
      <w:r>
        <w:rPr>
          <w:rFonts w:hint="eastAsia"/>
        </w:rPr>
        <w:t>.1现有环境管理制度情况</w:t>
      </w:r>
      <w:bookmarkEnd w:id="210"/>
      <w:bookmarkEnd w:id="211"/>
      <w:bookmarkEnd w:id="212"/>
      <w:bookmarkEnd w:id="213"/>
      <w:bookmarkEnd w:id="214"/>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default" w:ascii="Times New Roman" w:hAnsi="Times New Roman" w:cs="Times New Roman"/>
          <w:color w:val="auto"/>
          <w:lang w:val="en-US" w:eastAsia="zh-CN"/>
        </w:rPr>
      </w:pPr>
      <w:bookmarkStart w:id="215" w:name="_Toc26304"/>
      <w:bookmarkStart w:id="216" w:name="_Toc14006"/>
      <w:bookmarkStart w:id="217" w:name="_Toc887"/>
      <w:bookmarkStart w:id="218" w:name="_Toc12730"/>
      <w:r>
        <w:rPr>
          <w:rFonts w:hint="eastAsia" w:cs="Times New Roman" w:asciiTheme="minorEastAsia" w:hAnsiTheme="minorEastAsia"/>
          <w:color w:val="auto"/>
          <w:lang w:val="en-US" w:eastAsia="zh-CN"/>
        </w:rPr>
        <w:t>经过多年的发展，目前企业已经在安全、环保管理方面形成了较为完善的规章制度和组织机构，如岗位责任制、交接班制度、安全生产责任制，以及各个岗位的操作规程。同时制定了生产安全事故应急预案，包括专项应急预案、现场处</w:t>
      </w:r>
      <w:r>
        <w:rPr>
          <w:rFonts w:hint="default" w:ascii="Times New Roman" w:hAnsi="Times New Roman" w:cs="Times New Roman"/>
          <w:color w:val="auto"/>
          <w:lang w:val="en-US" w:eastAsia="zh-CN"/>
        </w:rPr>
        <w:t>置方案。除此之外，企业领导班子还在组织机构上加强了对安全、环保的管理，成立了事故应急指挥中心、环保领导小组等机构，配备有专职安全环保管理人员。</w:t>
      </w:r>
    </w:p>
    <w:p>
      <w:pPr>
        <w:pStyle w:val="18"/>
        <w:keepNext w:val="0"/>
        <w:keepLines w:val="0"/>
        <w:pageBreakBefore w:val="0"/>
        <w:widowControl/>
        <w:kinsoku/>
        <w:wordWrap/>
        <w:overflowPunct/>
        <w:topLinePunct w:val="0"/>
        <w:autoSpaceDE/>
        <w:autoSpaceDN/>
        <w:bidi w:val="0"/>
        <w:adjustRightInd/>
        <w:snapToGrid/>
        <w:spacing w:beforeAutospacing="0" w:afterAutospacing="0" w:line="560" w:lineRule="exact"/>
        <w:ind w:right="0" w:rightChars="0" w:firstLine="480" w:firstLineChars="20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公司生产安全事故应急预案体系由1个综合应急预案、11个专项应急预案和各车间各类现场处置方案构成，具体如下：</w:t>
      </w:r>
    </w:p>
    <w:p>
      <w:pPr>
        <w:pStyle w:val="18"/>
        <w:keepNext w:val="0"/>
        <w:keepLines w:val="0"/>
        <w:pageBreakBefore w:val="0"/>
        <w:widowControl/>
        <w:kinsoku/>
        <w:wordWrap/>
        <w:overflowPunct/>
        <w:topLinePunct w:val="0"/>
        <w:autoSpaceDE/>
        <w:autoSpaceDN/>
        <w:bidi w:val="0"/>
        <w:adjustRightInd/>
        <w:snapToGrid/>
        <w:spacing w:beforeAutospacing="0" w:afterAutospacing="0" w:line="240" w:lineRule="auto"/>
        <w:ind w:right="0" w:rightChars="0" w:firstLine="480" w:firstLineChars="20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4584700" cy="4479925"/>
            <wp:effectExtent l="0" t="0" r="6350" b="15875"/>
            <wp:docPr id="23" name="图片 23"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4"/>
                    <pic:cNvPicPr>
                      <a:picLocks noChangeAspect="1"/>
                    </pic:cNvPicPr>
                  </pic:nvPicPr>
                  <pic:blipFill>
                    <a:blip r:embed="rId34"/>
                    <a:stretch>
                      <a:fillRect/>
                    </a:stretch>
                  </pic:blipFill>
                  <pic:spPr>
                    <a:xfrm>
                      <a:off x="0" y="0"/>
                      <a:ext cx="4584700" cy="4479925"/>
                    </a:xfrm>
                    <a:prstGeom prst="rect">
                      <a:avLst/>
                    </a:prstGeom>
                  </pic:spPr>
                </pic:pic>
              </a:graphicData>
            </a:graphic>
          </wp:inline>
        </w:drawing>
      </w:r>
    </w:p>
    <w:p>
      <w:pPr>
        <w:pStyle w:val="5"/>
        <w:bidi w:val="0"/>
        <w:rPr>
          <w:rFonts w:hint="eastAsia"/>
        </w:rPr>
      </w:pPr>
      <w:bookmarkStart w:id="219" w:name="_Toc30934"/>
      <w:r>
        <w:rPr>
          <w:rFonts w:hint="eastAsia"/>
        </w:rPr>
        <w:t>3.</w:t>
      </w:r>
      <w:r>
        <w:rPr>
          <w:rFonts w:hint="eastAsia"/>
          <w:lang w:val="en-US" w:eastAsia="zh-CN"/>
        </w:rPr>
        <w:t>6</w:t>
      </w:r>
      <w:r>
        <w:rPr>
          <w:rFonts w:hint="eastAsia"/>
        </w:rPr>
        <w:t>.2应急设施、物资及装备情况</w:t>
      </w:r>
      <w:bookmarkEnd w:id="215"/>
      <w:bookmarkEnd w:id="216"/>
      <w:bookmarkEnd w:id="217"/>
      <w:bookmarkEnd w:id="218"/>
      <w:bookmarkEnd w:id="219"/>
    </w:p>
    <w:p>
      <w:pPr>
        <w:jc w:val="center"/>
        <w:rPr>
          <w:rFonts w:hint="eastAsia" w:ascii="宋体" w:hAnsi="宋体" w:eastAsia="宋体" w:cs="宋体"/>
          <w:b/>
          <w:bCs/>
          <w:color w:val="auto"/>
          <w:sz w:val="24"/>
        </w:rPr>
      </w:pPr>
      <w:r>
        <w:rPr>
          <w:rFonts w:hint="eastAsia" w:ascii="宋体" w:hAnsi="宋体" w:eastAsia="宋体" w:cs="宋体"/>
          <w:b/>
          <w:bCs/>
          <w:color w:val="auto"/>
          <w:sz w:val="24"/>
        </w:rPr>
        <w:t>表</w:t>
      </w:r>
      <w:r>
        <w:rPr>
          <w:rFonts w:hint="eastAsia" w:ascii="宋体" w:hAnsi="宋体" w:eastAsia="宋体" w:cs="宋体"/>
          <w:b/>
          <w:bCs/>
          <w:color w:val="auto"/>
          <w:sz w:val="24"/>
          <w:lang w:val="en-US" w:eastAsia="zh-CN"/>
        </w:rPr>
        <w:t>3.</w:t>
      </w:r>
      <w:r>
        <w:rPr>
          <w:rFonts w:hint="eastAsia" w:ascii="宋体" w:hAnsi="宋体" w:cs="宋体"/>
          <w:b/>
          <w:bCs/>
          <w:color w:val="auto"/>
          <w:sz w:val="24"/>
          <w:lang w:val="en-US" w:eastAsia="zh-CN"/>
        </w:rPr>
        <w:t>6</w:t>
      </w:r>
      <w:r>
        <w:rPr>
          <w:rFonts w:hint="eastAsia" w:ascii="宋体" w:hAnsi="宋体" w:eastAsia="宋体" w:cs="宋体"/>
          <w:b/>
          <w:bCs/>
          <w:color w:val="auto"/>
          <w:sz w:val="24"/>
        </w:rPr>
        <w:t>-1应急物资及个人防护装备</w:t>
      </w:r>
    </w:p>
    <w:tbl>
      <w:tblPr>
        <w:tblStyle w:val="21"/>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636"/>
        <w:gridCol w:w="3325"/>
        <w:gridCol w:w="1020"/>
        <w:gridCol w:w="1470"/>
        <w:gridCol w:w="20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604"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序号</w:t>
            </w:r>
          </w:p>
        </w:tc>
        <w:tc>
          <w:tcPr>
            <w:tcW w:w="195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名称及规格</w:t>
            </w:r>
          </w:p>
        </w:tc>
        <w:tc>
          <w:tcPr>
            <w:tcW w:w="59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单位</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数量</w:t>
            </w:r>
          </w:p>
        </w:tc>
        <w:tc>
          <w:tcPr>
            <w:tcW w:w="1213" w:type="pct"/>
            <w:tcBorders>
              <w:tl2br w:val="nil"/>
              <w:tr2bl w:val="nil"/>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cs="Times New Roman"/>
                <w:i w:val="0"/>
                <w:iCs w:val="0"/>
                <w:color w:val="000000"/>
                <w:kern w:val="0"/>
                <w:sz w:val="21"/>
                <w:szCs w:val="21"/>
                <w:u w:val="none"/>
                <w:lang w:val="en-US" w:eastAsia="zh-CN" w:bidi="ar"/>
              </w:rPr>
              <w:t>存放位置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雨靴 耐油</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双</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213" w:type="pct"/>
            <w:vMerge w:val="restar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cs="Times New Roman"/>
                <w:i w:val="0"/>
                <w:iCs w:val="0"/>
                <w:color w:val="000000"/>
                <w:kern w:val="0"/>
                <w:sz w:val="21"/>
                <w:szCs w:val="21"/>
                <w:u w:val="none"/>
                <w:lang w:val="en-US" w:eastAsia="zh-CN" w:bidi="ar"/>
              </w:rPr>
              <w:t>车间、办公区及应急物资库房</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镀锌铁丝</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kg</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w:t>
            </w:r>
          </w:p>
        </w:tc>
        <w:tc>
          <w:tcPr>
            <w:tcW w:w="195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吸油毡</w:t>
            </w:r>
          </w:p>
        </w:tc>
        <w:tc>
          <w:tcPr>
            <w:tcW w:w="59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块</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4</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围油绳</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根</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铁锨把 长900MM   铁人字型</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把</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6</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铁锨 尖头（带锹把）</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把</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7</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潜污泵 80QW30-15-3</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8</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塑料编织袋1050*550</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条</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9</w:t>
            </w:r>
          </w:p>
        </w:tc>
        <w:tc>
          <w:tcPr>
            <w:tcW w:w="1951" w:type="pct"/>
            <w:tcBorders>
              <w:tl2br w:val="nil"/>
              <w:tr2bl w:val="nil"/>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分身雨衣</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套</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雨靴 男  混号</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双</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11</w:t>
            </w:r>
          </w:p>
        </w:tc>
        <w:tc>
          <w:tcPr>
            <w:tcW w:w="1951"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防爆工作灯（防爆手电）</w:t>
            </w:r>
          </w:p>
        </w:tc>
        <w:tc>
          <w:tcPr>
            <w:tcW w:w="598"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把</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12</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耐油手套  807#</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副</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5"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13</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环保应急集污袋</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300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14</w:t>
            </w:r>
          </w:p>
        </w:tc>
        <w:tc>
          <w:tcPr>
            <w:tcW w:w="1951" w:type="pct"/>
            <w:tcBorders>
              <w:tl2br w:val="nil"/>
              <w:tr2bl w:val="nil"/>
            </w:tcBorders>
            <w:shd w:val="clear" w:color="auto" w:fill="auto"/>
            <w:noWrap/>
            <w:vAlign w:val="center"/>
          </w:tcPr>
          <w:p>
            <w:pPr>
              <w:keepNext w:val="0"/>
              <w:keepLines w:val="0"/>
              <w:widowControl/>
              <w:suppressLineNumbers w:val="0"/>
              <w:jc w:val="center"/>
              <w:textAlignment w:val="bottom"/>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正压式空气呼吸器</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套</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15</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铅桶</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16</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环境应急监测车</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17</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便携式可燃气防爆测定仪</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18</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便携式VOCs检测仪</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70"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19</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核辐射检测仪</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台</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20</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对讲机</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个</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1"/>
                <w:szCs w:val="21"/>
                <w:u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373"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cs="Times New Roman"/>
                <w:i w:val="0"/>
                <w:iCs w:val="0"/>
                <w:color w:val="000000"/>
                <w:kern w:val="0"/>
                <w:sz w:val="21"/>
                <w:szCs w:val="21"/>
                <w:u w:val="none"/>
                <w:lang w:val="en-US" w:eastAsia="zh-CN" w:bidi="ar"/>
              </w:rPr>
              <w:t>21</w:t>
            </w:r>
          </w:p>
        </w:tc>
        <w:tc>
          <w:tcPr>
            <w:tcW w:w="1951"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cs="Times New Roman"/>
                <w:i w:val="0"/>
                <w:iCs w:val="0"/>
                <w:color w:val="000000"/>
                <w:kern w:val="0"/>
                <w:sz w:val="21"/>
                <w:szCs w:val="21"/>
                <w:u w:val="none"/>
                <w:lang w:val="en-US" w:eastAsia="zh-CN" w:bidi="ar"/>
              </w:rPr>
              <w:t>沙子</w:t>
            </w:r>
          </w:p>
        </w:tc>
        <w:tc>
          <w:tcPr>
            <w:tcW w:w="598"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cs="Times New Roman"/>
                <w:i w:val="0"/>
                <w:iCs w:val="0"/>
                <w:color w:val="000000"/>
                <w:kern w:val="0"/>
                <w:sz w:val="21"/>
                <w:szCs w:val="21"/>
                <w:u w:val="none"/>
                <w:lang w:val="en-US" w:eastAsia="zh-CN" w:bidi="ar"/>
              </w:rPr>
              <w:t>m</w:t>
            </w:r>
            <w:r>
              <w:rPr>
                <w:rFonts w:hint="default" w:ascii="Times New Roman" w:hAnsi="Times New Roman" w:cs="Times New Roman"/>
                <w:i w:val="0"/>
                <w:iCs w:val="0"/>
                <w:color w:val="000000"/>
                <w:kern w:val="0"/>
                <w:sz w:val="21"/>
                <w:szCs w:val="21"/>
                <w:u w:val="none"/>
                <w:lang w:val="en-US" w:eastAsia="zh-CN" w:bidi="ar"/>
              </w:rPr>
              <w:t>³</w:t>
            </w:r>
          </w:p>
        </w:tc>
        <w:tc>
          <w:tcPr>
            <w:tcW w:w="862" w:type="pct"/>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cs="Times New Roman"/>
                <w:i w:val="0"/>
                <w:iCs w:val="0"/>
                <w:color w:val="000000"/>
                <w:kern w:val="0"/>
                <w:sz w:val="21"/>
                <w:szCs w:val="21"/>
                <w:u w:val="none"/>
                <w:lang w:val="en-US" w:eastAsia="zh-CN" w:bidi="ar"/>
              </w:rPr>
              <w:t>2</w:t>
            </w:r>
          </w:p>
        </w:tc>
        <w:tc>
          <w:tcPr>
            <w:tcW w:w="1213" w:type="pct"/>
            <w:vMerge w:val="continue"/>
            <w:tcBorders>
              <w:tl2br w:val="nil"/>
              <w:tr2bl w:val="nil"/>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p>
        </w:tc>
      </w:tr>
    </w:tbl>
    <w:p>
      <w:pPr>
        <w:pStyle w:val="5"/>
        <w:bidi w:val="0"/>
        <w:rPr>
          <w:rFonts w:hint="default"/>
        </w:rPr>
      </w:pPr>
      <w:bookmarkStart w:id="220" w:name="_Toc30865"/>
      <w:r>
        <w:rPr>
          <w:rFonts w:hint="eastAsia"/>
          <w:lang w:val="en-US" w:eastAsia="zh-CN"/>
        </w:rPr>
        <w:t xml:space="preserve">3.6.3 </w:t>
      </w:r>
      <w:r>
        <w:rPr>
          <w:rFonts w:hint="default"/>
        </w:rPr>
        <w:t>现有环境风险防</w:t>
      </w:r>
      <w:r>
        <w:rPr>
          <w:rFonts w:hint="eastAsia"/>
        </w:rPr>
        <w:t>范</w:t>
      </w:r>
      <w:r>
        <w:rPr>
          <w:rFonts w:hint="default"/>
        </w:rPr>
        <w:t>与应急措施情况</w:t>
      </w:r>
      <w:bookmarkEnd w:id="220"/>
    </w:p>
    <w:p>
      <w:pPr>
        <w:pStyle w:val="6"/>
        <w:bidi w:val="0"/>
        <w:rPr>
          <w:rFonts w:hint="default"/>
        </w:rPr>
      </w:pPr>
      <w:bookmarkStart w:id="221" w:name="_Toc7060"/>
      <w:bookmarkStart w:id="222" w:name="_Toc26428"/>
      <w:r>
        <w:rPr>
          <w:rFonts w:hint="eastAsia"/>
          <w:lang w:val="en-US" w:eastAsia="zh-CN"/>
        </w:rPr>
        <w:t>3.6.3</w:t>
      </w:r>
      <w:r>
        <w:rPr>
          <w:rFonts w:hint="default"/>
          <w:lang w:val="en-US" w:eastAsia="zh-CN"/>
        </w:rPr>
        <w:t>.1</w:t>
      </w:r>
      <w:r>
        <w:rPr>
          <w:rFonts w:hint="default"/>
        </w:rPr>
        <w:t>总图布置和建筑安全防范措施</w:t>
      </w:r>
      <w:bookmarkEnd w:id="221"/>
      <w:bookmarkEnd w:id="222"/>
    </w:p>
    <w:p>
      <w:pPr>
        <w:pStyle w:val="37"/>
        <w:pageBreakBefore w:val="0"/>
        <w:kinsoku/>
        <w:wordWrap/>
        <w:overflowPunct/>
        <w:topLinePunct w:val="0"/>
        <w:autoSpaceDE/>
        <w:autoSpaceDN/>
        <w:bidi w:val="0"/>
        <w:adjustRightInd/>
        <w:snapToGrid/>
        <w:spacing w:after="0" w:afterLines="0" w:line="560" w:lineRule="exact"/>
        <w:textAlignment w:val="auto"/>
        <w:rPr>
          <w:rFonts w:hint="default" w:ascii="Times New Roman" w:hAnsi="Times New Roman" w:eastAsia="宋体" w:cs="Times New Roman"/>
          <w:snapToGrid w:val="0"/>
          <w:kern w:val="0"/>
        </w:rPr>
      </w:pPr>
      <w:r>
        <w:rPr>
          <w:rFonts w:hint="eastAsia" w:ascii="Times New Roman" w:cs="Times New Roman"/>
          <w:snapToGrid w:val="0"/>
          <w:kern w:val="0"/>
          <w:lang w:eastAsia="zh-CN"/>
        </w:rPr>
        <w:t>（</w:t>
      </w:r>
      <w:r>
        <w:rPr>
          <w:rFonts w:hint="eastAsia" w:ascii="Times New Roman" w:cs="Times New Roman"/>
          <w:snapToGrid w:val="0"/>
          <w:kern w:val="0"/>
          <w:lang w:val="en-US" w:eastAsia="zh-CN"/>
        </w:rPr>
        <w:t>1</w:t>
      </w:r>
      <w:r>
        <w:rPr>
          <w:rFonts w:hint="eastAsia" w:ascii="Times New Roman" w:cs="Times New Roman"/>
          <w:snapToGrid w:val="0"/>
          <w:kern w:val="0"/>
          <w:lang w:eastAsia="zh-CN"/>
        </w:rPr>
        <w:t>）</w:t>
      </w:r>
      <w:r>
        <w:rPr>
          <w:rFonts w:hint="default" w:ascii="Times New Roman" w:hAnsi="Times New Roman" w:eastAsia="宋体" w:cs="Times New Roman"/>
          <w:snapToGrid w:val="0"/>
          <w:kern w:val="0"/>
          <w:lang w:val="zh-CN"/>
        </w:rPr>
        <w:t>公司厂区按功能分区布置，各功能区之间采用通道分隔。</w:t>
      </w:r>
      <w:r>
        <w:rPr>
          <w:rFonts w:hint="default" w:ascii="Times New Roman" w:hAnsi="Times New Roman" w:eastAsia="宋体" w:cs="Times New Roman"/>
          <w:snapToGrid w:val="0"/>
          <w:kern w:val="0"/>
        </w:rPr>
        <w:t>功能分区主要包括：厂前区、生产装置区、辅助设施区、储存设施区、公用工程设施区。</w:t>
      </w:r>
    </w:p>
    <w:p>
      <w:pPr>
        <w:pStyle w:val="37"/>
        <w:pageBreakBefore w:val="0"/>
        <w:kinsoku/>
        <w:wordWrap/>
        <w:overflowPunct/>
        <w:topLinePunct w:val="0"/>
        <w:autoSpaceDE/>
        <w:autoSpaceDN/>
        <w:bidi w:val="0"/>
        <w:adjustRightInd/>
        <w:snapToGrid/>
        <w:spacing w:after="0" w:afterLines="0" w:line="560" w:lineRule="exact"/>
        <w:textAlignment w:val="auto"/>
        <w:rPr>
          <w:rFonts w:hint="default" w:ascii="Times New Roman" w:hAnsi="Times New Roman" w:eastAsia="宋体" w:cs="Times New Roman"/>
          <w:snapToGrid w:val="0"/>
          <w:kern w:val="0"/>
        </w:rPr>
      </w:pPr>
      <w:r>
        <w:rPr>
          <w:rFonts w:hint="default" w:ascii="Times New Roman" w:hAnsi="Times New Roman" w:eastAsia="宋体" w:cs="Times New Roman"/>
          <w:snapToGrid w:val="0"/>
          <w:kern w:val="0"/>
        </w:rPr>
        <w:t>厂前区</w:t>
      </w:r>
      <w:r>
        <w:rPr>
          <w:rFonts w:hint="default" w:ascii="Times New Roman" w:hAnsi="Times New Roman" w:eastAsia="宋体" w:cs="Times New Roman"/>
          <w:snapToGrid w:val="0"/>
          <w:kern w:val="0"/>
          <w:lang w:val="zh-CN"/>
        </w:rPr>
        <w:t>：</w:t>
      </w:r>
      <w:r>
        <w:rPr>
          <w:rFonts w:hint="default" w:ascii="Times New Roman" w:hAnsi="Times New Roman" w:eastAsia="宋体" w:cs="Times New Roman"/>
          <w:snapToGrid w:val="0"/>
          <w:kern w:val="0"/>
        </w:rPr>
        <w:t>包括综合办公楼、食堂、小车库、消防站及气防站、三修车间、全厂仓库、中心控制室及化验室等。</w:t>
      </w:r>
    </w:p>
    <w:p>
      <w:pPr>
        <w:pStyle w:val="37"/>
        <w:pageBreakBefore w:val="0"/>
        <w:kinsoku/>
        <w:wordWrap/>
        <w:overflowPunct/>
        <w:topLinePunct w:val="0"/>
        <w:autoSpaceDE/>
        <w:autoSpaceDN/>
        <w:bidi w:val="0"/>
        <w:adjustRightInd/>
        <w:snapToGrid/>
        <w:spacing w:after="0" w:afterLines="0" w:line="560" w:lineRule="exact"/>
        <w:textAlignment w:val="auto"/>
        <w:rPr>
          <w:rFonts w:hint="default" w:ascii="Times New Roman" w:hAnsi="Times New Roman" w:eastAsia="宋体" w:cs="Times New Roman"/>
          <w:snapToGrid w:val="0"/>
          <w:kern w:val="0"/>
        </w:rPr>
      </w:pPr>
      <w:r>
        <w:rPr>
          <w:rFonts w:hint="default" w:ascii="Times New Roman" w:hAnsi="Times New Roman" w:eastAsia="宋体" w:cs="Times New Roman"/>
          <w:snapToGrid w:val="0"/>
          <w:kern w:val="0"/>
        </w:rPr>
        <w:t>生产装置区布置在厂区的中西部，包括：</w:t>
      </w:r>
      <w:r>
        <w:rPr>
          <w:rFonts w:hint="eastAsia" w:ascii="Times New Roman" w:cs="Times New Roman"/>
          <w:snapToGrid w:val="0"/>
          <w:kern w:val="0"/>
          <w:lang w:eastAsia="zh-CN"/>
        </w:rPr>
        <w:t>炼油一部</w:t>
      </w:r>
      <w:r>
        <w:rPr>
          <w:rFonts w:hint="default" w:ascii="Times New Roman" w:hAnsi="Times New Roman" w:eastAsia="宋体" w:cs="Times New Roman"/>
          <w:snapToGrid w:val="0"/>
          <w:kern w:val="0"/>
        </w:rPr>
        <w:t>（包括500万吨/年常压蒸馏装置、280万吨/年催化裂化装置、50万吨/年气体分馏装置</w:t>
      </w:r>
      <w:r>
        <w:rPr>
          <w:rFonts w:hint="eastAsia" w:ascii="Times New Roman" w:cs="Times New Roman"/>
          <w:snapToGrid w:val="0"/>
          <w:kern w:val="0"/>
          <w:lang w:eastAsia="zh-CN"/>
        </w:rPr>
        <w:t>（</w:t>
      </w:r>
      <w:r>
        <w:rPr>
          <w:rFonts w:hint="eastAsia" w:ascii="Times New Roman" w:cs="Times New Roman"/>
          <w:snapToGrid w:val="0"/>
          <w:kern w:val="0"/>
          <w:lang w:val="en-US" w:eastAsia="zh-CN"/>
        </w:rPr>
        <w:t>后改扩建至65</w:t>
      </w:r>
      <w:r>
        <w:rPr>
          <w:rFonts w:hint="default" w:ascii="Times New Roman" w:hAnsi="Times New Roman" w:eastAsia="宋体" w:cs="Times New Roman"/>
          <w:snapToGrid w:val="0"/>
          <w:kern w:val="0"/>
        </w:rPr>
        <w:t>万吨/年</w:t>
      </w:r>
      <w:r>
        <w:rPr>
          <w:rFonts w:hint="eastAsia" w:ascii="Times New Roman" w:cs="Times New Roman"/>
          <w:snapToGrid w:val="0"/>
          <w:kern w:val="0"/>
          <w:lang w:eastAsia="zh-CN"/>
        </w:rPr>
        <w:t>）</w:t>
      </w:r>
      <w:r>
        <w:rPr>
          <w:rFonts w:hint="default" w:ascii="Times New Roman" w:hAnsi="Times New Roman" w:eastAsia="宋体" w:cs="Times New Roman"/>
          <w:snapToGrid w:val="0"/>
          <w:kern w:val="0"/>
        </w:rPr>
        <w:t>、8万吨/年MTBE装置）、第二联合装置（包括140万吨/年柴油加氢降凝装置、30万吨/年煤油加氢精制装置、90万吨/年柴油加氢改质装置、60万吨/年连续重整装置、120万吨/年催化汽油加氢脱硫、30万吨/年轻汽油醚化</w:t>
      </w:r>
      <w:r>
        <w:rPr>
          <w:rFonts w:hint="default" w:ascii="Times New Roman" w:hAnsi="Times New Roman" w:eastAsia="宋体" w:cs="Times New Roman"/>
          <w:snapToGrid w:val="0"/>
          <w:kern w:val="0"/>
          <w:lang w:val="zh-CN"/>
        </w:rPr>
        <w:t>装置、3套含氢尾气氢气回收装置）</w:t>
      </w:r>
      <w:r>
        <w:rPr>
          <w:rFonts w:hint="default" w:ascii="Times New Roman" w:hAnsi="Times New Roman" w:eastAsia="宋体" w:cs="Times New Roman"/>
          <w:snapToGrid w:val="0"/>
          <w:kern w:val="0"/>
        </w:rPr>
        <w:t>、硫磺装置布置在厂区西南侧（包括新建氨精制装置）；聚丙烯装置布置在厂区南侧；聚丙烯仓库布置在聚丙烯装置的东侧。</w:t>
      </w:r>
    </w:p>
    <w:p>
      <w:pPr>
        <w:pStyle w:val="37"/>
        <w:pageBreakBefore w:val="0"/>
        <w:kinsoku/>
        <w:wordWrap/>
        <w:overflowPunct/>
        <w:topLinePunct w:val="0"/>
        <w:autoSpaceDE/>
        <w:autoSpaceDN/>
        <w:bidi w:val="0"/>
        <w:adjustRightInd/>
        <w:snapToGrid/>
        <w:spacing w:after="0" w:afterLines="0" w:line="560" w:lineRule="exact"/>
        <w:textAlignment w:val="auto"/>
        <w:rPr>
          <w:rFonts w:hint="default" w:ascii="Times New Roman" w:hAnsi="Times New Roman" w:eastAsia="宋体" w:cs="Times New Roman"/>
          <w:snapToGrid w:val="0"/>
          <w:kern w:val="0"/>
        </w:rPr>
      </w:pPr>
      <w:r>
        <w:rPr>
          <w:rFonts w:hint="default" w:ascii="Times New Roman" w:hAnsi="Times New Roman" w:eastAsia="宋体" w:cs="Times New Roman"/>
          <w:snapToGrid w:val="0"/>
          <w:kern w:val="0"/>
        </w:rPr>
        <w:t>供热供风联合区域布置在厂区西北角空地内，包括供水设施（含处理设施）、消防设施、空分、空压、除盐水及动力站等。</w:t>
      </w:r>
    </w:p>
    <w:p>
      <w:pPr>
        <w:pStyle w:val="37"/>
        <w:pageBreakBefore w:val="0"/>
        <w:kinsoku/>
        <w:wordWrap/>
        <w:overflowPunct/>
        <w:topLinePunct w:val="0"/>
        <w:autoSpaceDE/>
        <w:autoSpaceDN/>
        <w:bidi w:val="0"/>
        <w:adjustRightInd/>
        <w:snapToGrid/>
        <w:spacing w:after="0" w:afterLines="0" w:line="560" w:lineRule="exact"/>
        <w:textAlignment w:val="auto"/>
        <w:rPr>
          <w:rFonts w:hint="default" w:ascii="Times New Roman" w:hAnsi="Times New Roman" w:eastAsia="宋体" w:cs="Times New Roman"/>
          <w:snapToGrid w:val="0"/>
          <w:kern w:val="0"/>
        </w:rPr>
      </w:pPr>
      <w:r>
        <w:rPr>
          <w:rFonts w:hint="default" w:ascii="Times New Roman" w:hAnsi="Times New Roman" w:eastAsia="宋体" w:cs="Times New Roman"/>
          <w:snapToGrid w:val="0"/>
          <w:kern w:val="0"/>
        </w:rPr>
        <w:t>原油罐区、汽柴油及航煤罐区布置在厂区最南端，其它罐区及气柜布置在厂区东侧的储罐区内。汽车装车设施布置在厂区东南角，铁路装车设施布置在厂区南端。</w:t>
      </w:r>
    </w:p>
    <w:p>
      <w:pPr>
        <w:pStyle w:val="37"/>
        <w:pageBreakBefore w:val="0"/>
        <w:kinsoku/>
        <w:wordWrap/>
        <w:overflowPunct/>
        <w:topLinePunct w:val="0"/>
        <w:autoSpaceDE/>
        <w:autoSpaceDN/>
        <w:bidi w:val="0"/>
        <w:adjustRightInd/>
        <w:snapToGrid/>
        <w:spacing w:after="0" w:afterLines="0" w:line="560" w:lineRule="exact"/>
        <w:textAlignment w:val="auto"/>
        <w:rPr>
          <w:rFonts w:hint="default" w:ascii="Times New Roman" w:hAnsi="Times New Roman" w:eastAsia="宋体" w:cs="Times New Roman"/>
          <w:snapToGrid w:val="0"/>
          <w:kern w:val="0"/>
        </w:rPr>
      </w:pPr>
      <w:r>
        <w:rPr>
          <w:rFonts w:hint="default" w:ascii="Times New Roman" w:hAnsi="Times New Roman" w:eastAsia="宋体" w:cs="Times New Roman"/>
          <w:snapToGrid w:val="0"/>
          <w:kern w:val="0"/>
        </w:rPr>
        <w:t>厂区共设大门8座，分别通向厂前区、生产装置区、装卸区，</w:t>
      </w:r>
      <w:r>
        <w:rPr>
          <w:rFonts w:hint="default" w:ascii="Times New Roman" w:hAnsi="Times New Roman" w:eastAsia="宋体" w:cs="Times New Roman"/>
          <w:snapToGrid w:val="0"/>
          <w:kern w:val="0"/>
          <w:lang w:val="zh-CN"/>
        </w:rPr>
        <w:t>能够实现人流物流分离。</w:t>
      </w:r>
      <w:r>
        <w:rPr>
          <w:rFonts w:hint="default" w:ascii="Times New Roman" w:hAnsi="Times New Roman" w:eastAsia="宋体" w:cs="Times New Roman"/>
          <w:snapToGrid w:val="0"/>
          <w:kern w:val="0"/>
        </w:rPr>
        <w:t>厂区内部有主要道路和次要道路分别通向各个装置设施，界区内主次道路宽度分别为9m和6m，主要道路转弯半径不小于12m，厂内道路采用城市型，消防车道宽度和净高度不小于5m。</w:t>
      </w:r>
    </w:p>
    <w:p>
      <w:pPr>
        <w:keepLines w:val="0"/>
        <w:pageBreakBefore w:val="0"/>
        <w:widowControl w:val="0"/>
        <w:tabs>
          <w:tab w:val="left" w:pos="880"/>
        </w:tabs>
        <w:kinsoku/>
        <w:wordWrap/>
        <w:overflowPunct/>
        <w:topLinePunct w:val="0"/>
        <w:autoSpaceDE/>
        <w:autoSpaceDN/>
        <w:bidi w:val="0"/>
        <w:adjustRightInd/>
        <w:snapToGrid/>
        <w:spacing w:line="560" w:lineRule="exact"/>
        <w:ind w:left="0" w:leftChars="0" w:firstLine="482"/>
        <w:jc w:val="center"/>
        <w:textAlignment w:val="auto"/>
        <w:rPr>
          <w:rFonts w:hint="default" w:ascii="Times New Roman" w:hAnsi="Times New Roman" w:eastAsia="宋体" w:cs="Times New Roman"/>
          <w:b/>
          <w:color w:val="auto"/>
          <w:sz w:val="24"/>
          <w:szCs w:val="24"/>
        </w:rPr>
      </w:pPr>
      <w:r>
        <w:rPr>
          <w:rFonts w:hint="eastAsia" w:ascii="Times New Roman" w:hAnsi="Times New Roman" w:eastAsia="宋体" w:cs="Times New Roman"/>
          <w:b/>
          <w:color w:val="auto"/>
          <w:sz w:val="24"/>
          <w:szCs w:val="24"/>
          <w:lang w:val="en-US" w:eastAsia="zh-CN"/>
        </w:rPr>
        <w:t xml:space="preserve">表3.6.3-1   </w:t>
      </w:r>
      <w:r>
        <w:rPr>
          <w:rFonts w:hint="default" w:ascii="Times New Roman" w:hAnsi="Times New Roman" w:eastAsia="宋体" w:cs="Times New Roman"/>
          <w:b/>
          <w:color w:val="auto"/>
          <w:sz w:val="24"/>
          <w:szCs w:val="24"/>
        </w:rPr>
        <w:t>厂内设施与周边建筑物的安全距离</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0"/>
        <w:gridCol w:w="1205"/>
        <w:gridCol w:w="1633"/>
        <w:gridCol w:w="1033"/>
        <w:gridCol w:w="933"/>
        <w:gridCol w:w="1734"/>
        <w:gridCol w:w="1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153" w:type="pct"/>
            <w:gridSpan w:val="2"/>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厂内设施</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周边环境</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实际距离（m）</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标准距离（m）</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依据</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东侧</w:t>
            </w: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柴油组份罐区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厂外道路</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35</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20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GB50160-2008表4.1.9</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汽车装车设施区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厂外道路</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60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20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GB50160-2008表4.1.9</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成品油罐区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八拜油库储罐区（甲类）</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48</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30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GB50160-2008表4.1.10</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东南</w:t>
            </w: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汽车装车设施区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后白庙村（居民区）</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5200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100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GB50160-2008表4.1.9</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vMerge w:val="restar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南侧</w:t>
            </w: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汽油、航煤罐区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厂外道路</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120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20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GB50160-2008表4.1.10</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汽油、航煤罐区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八拜油库（甲类）</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70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50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GB50160-2008表4.1.10</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汽油、航煤罐区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中石油管道公司（办公）</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150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70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GB50160-2008表4.1.9</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成品油</w:t>
            </w:r>
          </w:p>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罐区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阿木尔北街</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30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20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GB50160-2008表4.1.9</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成品油</w:t>
            </w:r>
          </w:p>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罐区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中环光伏公司（戊类）</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140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70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GB50160-2008表4.1.9</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vMerge w:val="continue"/>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成品油</w:t>
            </w:r>
          </w:p>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罐区</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蒙联公司（甲类）</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140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70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GB50160-2008表4.1.9</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西侧</w:t>
            </w: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硫磺回收装置</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eastAsia" w:ascii="Times New Roman" w:hAnsi="Times New Roman" w:cs="Times New Roman"/>
                <w:snapToGrid w:val="0"/>
                <w:kern w:val="0"/>
                <w:sz w:val="18"/>
                <w:szCs w:val="18"/>
                <w:lang w:eastAsia="zh-CN"/>
              </w:rPr>
              <w:t>中石油（内蒙古）新材料有限责任</w:t>
            </w:r>
            <w:r>
              <w:rPr>
                <w:rFonts w:hint="default" w:ascii="Times New Roman" w:hAnsi="Times New Roman" w:eastAsia="宋体" w:cs="Times New Roman"/>
                <w:snapToGrid w:val="0"/>
                <w:kern w:val="0"/>
                <w:sz w:val="18"/>
                <w:szCs w:val="18"/>
              </w:rPr>
              <w:t>公司甲醇储罐（甲类）</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70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50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GB50160-2008表4.1.10</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4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北侧</w:t>
            </w:r>
          </w:p>
        </w:tc>
        <w:tc>
          <w:tcPr>
            <w:tcW w:w="7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第二联合装置</w:t>
            </w:r>
          </w:p>
        </w:tc>
        <w:tc>
          <w:tcPr>
            <w:tcW w:w="958"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102省道</w:t>
            </w:r>
          </w:p>
        </w:tc>
        <w:tc>
          <w:tcPr>
            <w:tcW w:w="60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300</w:t>
            </w:r>
          </w:p>
        </w:tc>
        <w:tc>
          <w:tcPr>
            <w:tcW w:w="54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20</w:t>
            </w:r>
          </w:p>
        </w:tc>
        <w:tc>
          <w:tcPr>
            <w:tcW w:w="1017"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GB50160-2008表4.1.9</w:t>
            </w:r>
          </w:p>
        </w:tc>
        <w:tc>
          <w:tcPr>
            <w:tcW w:w="716" w:type="pct"/>
            <w:noWrap w:val="0"/>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firstLine="0" w:firstLineChars="0"/>
              <w:jc w:val="center"/>
              <w:textAlignment w:val="auto"/>
              <w:rPr>
                <w:rFonts w:hint="default" w:ascii="Times New Roman" w:hAnsi="Times New Roman" w:eastAsia="宋体" w:cs="Times New Roman"/>
                <w:snapToGrid w:val="0"/>
                <w:kern w:val="0"/>
                <w:sz w:val="18"/>
                <w:szCs w:val="18"/>
              </w:rPr>
            </w:pPr>
            <w:r>
              <w:rPr>
                <w:rFonts w:hint="default" w:ascii="Times New Roman" w:hAnsi="Times New Roman" w:eastAsia="宋体" w:cs="Times New Roman"/>
                <w:snapToGrid w:val="0"/>
                <w:kern w:val="0"/>
                <w:sz w:val="18"/>
                <w:szCs w:val="18"/>
              </w:rPr>
              <w:t>符合要求</w:t>
            </w:r>
          </w:p>
        </w:tc>
      </w:tr>
    </w:tbl>
    <w:p>
      <w:pPr>
        <w:pStyle w:val="6"/>
        <w:bidi w:val="0"/>
        <w:rPr>
          <w:rFonts w:hint="default"/>
        </w:rPr>
      </w:pPr>
      <w:bookmarkStart w:id="223" w:name="_Toc26433"/>
      <w:bookmarkStart w:id="224" w:name="_Toc19188"/>
      <w:r>
        <w:rPr>
          <w:rFonts w:hint="default"/>
          <w:lang w:val="en-US" w:eastAsia="zh-CN"/>
        </w:rPr>
        <w:t>3.</w:t>
      </w:r>
      <w:r>
        <w:rPr>
          <w:rFonts w:hint="eastAsia"/>
          <w:lang w:val="en-US" w:eastAsia="zh-CN"/>
        </w:rPr>
        <w:t>6.3</w:t>
      </w:r>
      <w:r>
        <w:rPr>
          <w:rFonts w:hint="default"/>
          <w:lang w:val="en-US" w:eastAsia="zh-CN"/>
        </w:rPr>
        <w:t>.2</w:t>
      </w:r>
      <w:bookmarkStart w:id="225" w:name="_Toc405278354"/>
      <w:r>
        <w:rPr>
          <w:rFonts w:hint="default"/>
        </w:rPr>
        <w:t>危险化学品贮运安全防范措施</w:t>
      </w:r>
      <w:bookmarkEnd w:id="223"/>
      <w:bookmarkEnd w:id="224"/>
      <w:bookmarkEnd w:id="225"/>
    </w:p>
    <w:p>
      <w:pPr>
        <w:pStyle w:val="37"/>
        <w:keepNext w:val="0"/>
        <w:keepLines w:val="0"/>
        <w:pageBreakBefore w:val="0"/>
        <w:kinsoku/>
        <w:wordWrap/>
        <w:overflowPunct/>
        <w:topLinePunct w:val="0"/>
        <w:autoSpaceDE/>
        <w:autoSpaceDN/>
        <w:bidi w:val="0"/>
        <w:adjustRightInd/>
        <w:snapToGrid/>
        <w:spacing w:after="0" w:afterLines="0" w:line="560" w:lineRule="exact"/>
        <w:textAlignment w:val="auto"/>
        <w:rPr>
          <w:rFonts w:hint="default" w:ascii="Times New Roman" w:hAnsi="Times New Roman" w:eastAsia="宋体" w:cs="Times New Roman"/>
          <w:snapToGrid w:val="0"/>
          <w:kern w:val="0"/>
        </w:rPr>
      </w:pPr>
      <w:r>
        <w:rPr>
          <w:rFonts w:hint="default" w:ascii="Times New Roman" w:hAnsi="Times New Roman" w:eastAsia="宋体" w:cs="Times New Roman"/>
          <w:snapToGrid w:val="0"/>
          <w:kern w:val="0"/>
          <w:lang w:eastAsia="zh-CN"/>
        </w:rPr>
        <w:t>（</w:t>
      </w:r>
      <w:r>
        <w:rPr>
          <w:rFonts w:hint="default" w:ascii="Times New Roman" w:hAnsi="Times New Roman" w:eastAsia="宋体" w:cs="Times New Roman"/>
          <w:snapToGrid w:val="0"/>
          <w:kern w:val="0"/>
          <w:lang w:val="en-US" w:eastAsia="zh-CN"/>
        </w:rPr>
        <w:t>1</w:t>
      </w:r>
      <w:r>
        <w:rPr>
          <w:rFonts w:hint="default" w:ascii="Times New Roman" w:hAnsi="Times New Roman" w:eastAsia="宋体" w:cs="Times New Roman"/>
          <w:snapToGrid w:val="0"/>
          <w:kern w:val="0"/>
          <w:lang w:eastAsia="zh-CN"/>
        </w:rPr>
        <w:t>）</w:t>
      </w:r>
      <w:r>
        <w:rPr>
          <w:rFonts w:hint="default" w:ascii="Times New Roman" w:hAnsi="Times New Roman" w:eastAsia="宋体" w:cs="Times New Roman"/>
          <w:snapToGrid w:val="0"/>
          <w:kern w:val="0"/>
        </w:rPr>
        <w:t>危险品装卸、运输人员佩戴相应的防护用品；装运易燃、易爆化学危险品</w:t>
      </w:r>
      <w:r>
        <w:rPr>
          <w:rFonts w:hint="default" w:ascii="Times New Roman" w:hAnsi="Times New Roman" w:eastAsia="宋体" w:cs="Times New Roman"/>
          <w:snapToGrid w:val="0"/>
          <w:kern w:val="0"/>
          <w:lang w:val="en-US" w:eastAsia="zh-CN"/>
        </w:rPr>
        <w:t>采</w:t>
      </w:r>
      <w:r>
        <w:rPr>
          <w:rFonts w:hint="default" w:ascii="Times New Roman" w:hAnsi="Times New Roman" w:eastAsia="宋体" w:cs="Times New Roman"/>
          <w:snapToGrid w:val="0"/>
          <w:kern w:val="0"/>
        </w:rPr>
        <w:t>用专用机动车，悬挂“危险品”的信号要挂接电导链与地接触。</w:t>
      </w:r>
    </w:p>
    <w:p>
      <w:pPr>
        <w:pStyle w:val="37"/>
        <w:keepNext w:val="0"/>
        <w:keepLines w:val="0"/>
        <w:pageBreakBefore w:val="0"/>
        <w:kinsoku/>
        <w:wordWrap/>
        <w:overflowPunct/>
        <w:topLinePunct w:val="0"/>
        <w:autoSpaceDE/>
        <w:autoSpaceDN/>
        <w:bidi w:val="0"/>
        <w:adjustRightInd/>
        <w:snapToGrid/>
        <w:spacing w:after="0" w:afterLines="0" w:line="560" w:lineRule="exact"/>
        <w:textAlignment w:val="auto"/>
        <w:rPr>
          <w:rFonts w:hint="default" w:ascii="Times New Roman" w:hAnsi="Times New Roman" w:eastAsia="宋体" w:cs="Times New Roman"/>
          <w:snapToGrid w:val="0"/>
          <w:kern w:val="0"/>
        </w:rPr>
      </w:pPr>
      <w:r>
        <w:rPr>
          <w:rFonts w:hint="default" w:ascii="Times New Roman" w:hAnsi="Times New Roman" w:eastAsia="宋体" w:cs="Times New Roman"/>
          <w:snapToGrid w:val="0"/>
          <w:kern w:val="0"/>
          <w:lang w:eastAsia="zh-CN"/>
        </w:rPr>
        <w:t>（</w:t>
      </w:r>
      <w:r>
        <w:rPr>
          <w:rFonts w:hint="default" w:ascii="Times New Roman" w:hAnsi="Times New Roman" w:eastAsia="宋体" w:cs="Times New Roman"/>
          <w:snapToGrid w:val="0"/>
          <w:kern w:val="0"/>
          <w:lang w:val="en-US" w:eastAsia="zh-CN"/>
        </w:rPr>
        <w:t>2</w:t>
      </w:r>
      <w:r>
        <w:rPr>
          <w:rFonts w:hint="default" w:ascii="Times New Roman" w:hAnsi="Times New Roman" w:eastAsia="宋体" w:cs="Times New Roman"/>
          <w:snapToGrid w:val="0"/>
          <w:kern w:val="0"/>
          <w:lang w:eastAsia="zh-CN"/>
        </w:rPr>
        <w:t>）</w:t>
      </w:r>
      <w:r>
        <w:rPr>
          <w:rFonts w:hint="default" w:ascii="Times New Roman" w:hAnsi="Times New Roman" w:eastAsia="宋体" w:cs="Times New Roman"/>
          <w:snapToGrid w:val="0"/>
          <w:kern w:val="0"/>
        </w:rPr>
        <w:t>罐区至生产车间使用工序均采用管道密闭输送，车间内局部强制通风，操作人员配备防毒面具、工作服、手套等劳保用品。</w:t>
      </w:r>
    </w:p>
    <w:p>
      <w:pPr>
        <w:pStyle w:val="6"/>
        <w:bidi w:val="0"/>
        <w:rPr>
          <w:rFonts w:hint="default"/>
        </w:rPr>
      </w:pPr>
      <w:bookmarkStart w:id="226" w:name="_Toc3718"/>
      <w:bookmarkStart w:id="227" w:name="_Toc24107"/>
      <w:bookmarkStart w:id="228" w:name="_Toc405278356"/>
      <w:r>
        <w:rPr>
          <w:rFonts w:hint="default"/>
          <w:lang w:val="en-US" w:eastAsia="zh-CN"/>
        </w:rPr>
        <w:t>3.</w:t>
      </w:r>
      <w:r>
        <w:rPr>
          <w:rFonts w:hint="eastAsia"/>
          <w:lang w:val="en-US" w:eastAsia="zh-CN"/>
        </w:rPr>
        <w:t>6.3</w:t>
      </w:r>
      <w:r>
        <w:rPr>
          <w:rFonts w:hint="default"/>
          <w:lang w:val="en-US" w:eastAsia="zh-CN"/>
        </w:rPr>
        <w:t>.3</w:t>
      </w:r>
      <w:r>
        <w:rPr>
          <w:rFonts w:hint="default"/>
        </w:rPr>
        <w:t>自动控制防范措施</w:t>
      </w:r>
      <w:bookmarkEnd w:id="226"/>
      <w:bookmarkEnd w:id="227"/>
      <w:bookmarkEnd w:id="228"/>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bookmarkStart w:id="229" w:name="_Toc7278"/>
      <w:r>
        <w:rPr>
          <w:rFonts w:hint="eastAsia" w:ascii="Times New Roman" w:hAnsi="Times New Roman" w:eastAsia="宋体" w:cs="Times New Roman"/>
          <w:snapToGrid w:val="0"/>
          <w:kern w:val="0"/>
        </w:rPr>
        <w:t>（</w:t>
      </w:r>
      <w:r>
        <w:rPr>
          <w:rFonts w:hint="eastAsia" w:ascii="Times New Roman" w:cs="Times New Roman"/>
          <w:snapToGrid w:val="0"/>
          <w:kern w:val="0"/>
          <w:lang w:val="en-US" w:eastAsia="zh-CN"/>
        </w:rPr>
        <w:t>1</w:t>
      </w:r>
      <w:r>
        <w:rPr>
          <w:rFonts w:hint="eastAsia" w:ascii="Times New Roman" w:hAnsi="Times New Roman" w:eastAsia="宋体" w:cs="Times New Roman"/>
          <w:snapToGrid w:val="0"/>
          <w:kern w:val="0"/>
        </w:rPr>
        <w:t>）自动控制：</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cs="Times New Roman"/>
          <w:snapToGrid w:val="0"/>
          <w:kern w:val="0"/>
          <w:lang w:eastAsia="zh-CN"/>
        </w:rPr>
        <w:t>油品部</w:t>
      </w:r>
      <w:r>
        <w:rPr>
          <w:rFonts w:hint="eastAsia" w:ascii="Times New Roman" w:hAnsi="Times New Roman" w:eastAsia="宋体" w:cs="Times New Roman"/>
          <w:snapToGrid w:val="0"/>
          <w:kern w:val="0"/>
        </w:rPr>
        <w:t>目前在用DCS控制回路共计86个，其中28个控制回路由于工艺原因或间歇使用特征不参与统计自动控制率100%。</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hAnsi="Times New Roman" w:eastAsia="宋体" w:cs="Times New Roman"/>
          <w:snapToGrid w:val="0"/>
          <w:kern w:val="0"/>
        </w:rPr>
        <w:t>（</w:t>
      </w:r>
      <w:r>
        <w:rPr>
          <w:rFonts w:hint="eastAsia" w:ascii="Times New Roman" w:cs="Times New Roman"/>
          <w:snapToGrid w:val="0"/>
          <w:kern w:val="0"/>
          <w:lang w:val="en-US" w:eastAsia="zh-CN"/>
        </w:rPr>
        <w:t>2</w:t>
      </w:r>
      <w:r>
        <w:rPr>
          <w:rFonts w:hint="eastAsia" w:ascii="Times New Roman" w:hAnsi="Times New Roman" w:eastAsia="宋体" w:cs="Times New Roman"/>
          <w:snapToGrid w:val="0"/>
          <w:kern w:val="0"/>
        </w:rPr>
        <w:t>）泄漏检测系统</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cs="Times New Roman"/>
          <w:snapToGrid w:val="0"/>
          <w:kern w:val="0"/>
          <w:lang w:eastAsia="zh-CN"/>
        </w:rPr>
        <w:t>油品部</w:t>
      </w:r>
      <w:r>
        <w:rPr>
          <w:rFonts w:hint="eastAsia" w:ascii="Times New Roman" w:hAnsi="Times New Roman" w:eastAsia="宋体" w:cs="Times New Roman"/>
          <w:snapToGrid w:val="0"/>
          <w:kern w:val="0"/>
        </w:rPr>
        <w:t>现有储罐102具，为加强储罐泄漏检测，公司为除液化气球罐（16具），新三万立（4具），十万立（4具）外的78具储罐安装了感应式罐底泄漏检测设施，并将监测数据传送至DCS监控画面，实现了实时监控。</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hAnsi="Times New Roman" w:eastAsia="宋体" w:cs="Times New Roman"/>
          <w:snapToGrid w:val="0"/>
          <w:kern w:val="0"/>
        </w:rPr>
        <w:t>（</w:t>
      </w:r>
      <w:r>
        <w:rPr>
          <w:rFonts w:hint="eastAsia" w:ascii="Times New Roman" w:cs="Times New Roman"/>
          <w:snapToGrid w:val="0"/>
          <w:kern w:val="0"/>
          <w:lang w:val="en-US" w:eastAsia="zh-CN"/>
        </w:rPr>
        <w:t>3</w:t>
      </w:r>
      <w:r>
        <w:rPr>
          <w:rFonts w:hint="eastAsia" w:ascii="Times New Roman" w:hAnsi="Times New Roman" w:eastAsia="宋体" w:cs="Times New Roman"/>
          <w:snapToGrid w:val="0"/>
          <w:kern w:val="0"/>
        </w:rPr>
        <w:t>）事故紧急截断措施</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hAnsi="Times New Roman" w:eastAsia="宋体" w:cs="Times New Roman"/>
          <w:snapToGrid w:val="0"/>
          <w:kern w:val="0"/>
        </w:rPr>
        <w:t>组分三罐区（5具储罐已完成进、出口管线阀门紧急切断阀改造），新三万立罐区（4具储罐进出口阀门具备紧急切断阀门功能），除10万立原油储罐（4具）外的96具储罐，进罐管道采用气动阀控制，可实现事故状态紧急切断。除液化气球罐（16具）外的86具储罐出油管道采用电动阀控制，可实现事故状态快速切断。</w:t>
      </w:r>
    </w:p>
    <w:p>
      <w:pPr>
        <w:pStyle w:val="6"/>
        <w:bidi w:val="0"/>
        <w:rPr>
          <w:rFonts w:hint="default"/>
        </w:rPr>
      </w:pPr>
      <w:bookmarkStart w:id="230" w:name="_Toc1645"/>
      <w:r>
        <w:rPr>
          <w:rFonts w:hint="default"/>
          <w:lang w:val="en-US" w:eastAsia="zh-CN"/>
        </w:rPr>
        <w:t>3.</w:t>
      </w:r>
      <w:r>
        <w:rPr>
          <w:rFonts w:hint="eastAsia"/>
          <w:lang w:val="en-US" w:eastAsia="zh-CN"/>
        </w:rPr>
        <w:t>6.3</w:t>
      </w:r>
      <w:r>
        <w:rPr>
          <w:rFonts w:hint="default"/>
          <w:lang w:val="en-US" w:eastAsia="zh-CN"/>
        </w:rPr>
        <w:t>.4</w:t>
      </w:r>
      <w:r>
        <w:rPr>
          <w:rFonts w:hint="default"/>
        </w:rPr>
        <w:t>应急响应联动方案</w:t>
      </w:r>
      <w:bookmarkEnd w:id="229"/>
      <w:bookmarkEnd w:id="230"/>
    </w:p>
    <w:p>
      <w:pPr>
        <w:keepNext w:val="0"/>
        <w:keepLines w:val="0"/>
        <w:pageBreakBefore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呼和浩特石化公司设有专职消防队，集团公司统一冠名：中国石油消防应急救援呼和浩特石化支队，现有队员81名。消防支队位于公司厂区内，能够在5min内到达公司生产区域的任何地点。</w:t>
      </w:r>
    </w:p>
    <w:p>
      <w:pPr>
        <w:keepNext w:val="0"/>
        <w:keepLines w:val="0"/>
        <w:pageBreakBefore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消防队现有消防车辆13台，其中重型泡沫车7台（含举高类消防车4台），干粉水联用消防车、消防抢险救援车、消防应急通讯车、消防运兵车、消防指挥车各1台；总载泡沫量34t、总载水量64t、总载干粉量3t。</w:t>
      </w:r>
    </w:p>
    <w:p>
      <w:pPr>
        <w:keepNext w:val="0"/>
        <w:keepLines w:val="0"/>
        <w:pageBreakBefore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位于石化公司西边的</w:t>
      </w:r>
      <w:r>
        <w:rPr>
          <w:rFonts w:hint="eastAsia" w:ascii="Times New Roman" w:hAnsi="Times New Roman" w:eastAsia="宋体" w:cs="Times New Roman"/>
          <w:sz w:val="24"/>
          <w:lang w:eastAsia="zh-CN"/>
        </w:rPr>
        <w:t>中石油（内蒙古）新材料有限责任</w:t>
      </w:r>
      <w:r>
        <w:rPr>
          <w:rFonts w:hint="default" w:ascii="Times New Roman" w:hAnsi="Times New Roman" w:eastAsia="宋体" w:cs="Times New Roman"/>
          <w:sz w:val="24"/>
        </w:rPr>
        <w:t>公司消防站和东南边的八拜石油公司消防队及呼和浩特市消防队可作为石化公司的消防协作力量。两厂实行事故风险联动机制，任何一方发生事故，有可能危及到另一方时，应马上通知对方，并为对方人员无条件提供迅速转移和撤离的车辆或措施。</w:t>
      </w:r>
    </w:p>
    <w:p>
      <w:pPr>
        <w:pStyle w:val="6"/>
        <w:bidi w:val="0"/>
        <w:rPr>
          <w:rFonts w:hint="default"/>
        </w:rPr>
      </w:pPr>
      <w:bookmarkStart w:id="231" w:name="_Toc748"/>
      <w:r>
        <w:rPr>
          <w:rFonts w:hint="default"/>
          <w:lang w:val="en-US" w:eastAsia="zh-CN"/>
        </w:rPr>
        <w:t>3.</w:t>
      </w:r>
      <w:r>
        <w:rPr>
          <w:rFonts w:hint="eastAsia"/>
          <w:lang w:val="en-US" w:eastAsia="zh-CN"/>
        </w:rPr>
        <w:t>6.3</w:t>
      </w:r>
      <w:r>
        <w:rPr>
          <w:rFonts w:hint="default"/>
          <w:lang w:val="en-US" w:eastAsia="zh-CN"/>
        </w:rPr>
        <w:t>.</w:t>
      </w:r>
      <w:r>
        <w:rPr>
          <w:rFonts w:hint="eastAsia"/>
          <w:lang w:val="en-US" w:eastAsia="zh-CN"/>
        </w:rPr>
        <w:t>5</w:t>
      </w:r>
      <w:r>
        <w:rPr>
          <w:rFonts w:hint="default"/>
          <w:lang w:val="en-US" w:eastAsia="zh-CN"/>
        </w:rPr>
        <w:t>事故废水</w:t>
      </w:r>
      <w:r>
        <w:rPr>
          <w:rFonts w:hint="default"/>
        </w:rPr>
        <w:t>三级防控系统</w:t>
      </w:r>
      <w:bookmarkEnd w:id="231"/>
    </w:p>
    <w:p>
      <w:pPr>
        <w:keepNext w:val="0"/>
        <w:keepLines w:val="0"/>
        <w:pageBreakBefore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针对</w:t>
      </w:r>
      <w:r>
        <w:rPr>
          <w:rFonts w:hint="default" w:ascii="Times New Roman" w:hAnsi="Times New Roman" w:eastAsia="宋体" w:cs="Times New Roman"/>
          <w:sz w:val="24"/>
          <w:lang w:val="en-US" w:eastAsia="zh-CN"/>
        </w:rPr>
        <w:t>企业</w:t>
      </w:r>
      <w:r>
        <w:rPr>
          <w:rFonts w:hint="default" w:ascii="Times New Roman" w:hAnsi="Times New Roman" w:eastAsia="宋体" w:cs="Times New Roman"/>
          <w:sz w:val="24"/>
        </w:rPr>
        <w:t>污染物来源及其特性，</w:t>
      </w:r>
      <w:r>
        <w:rPr>
          <w:rFonts w:hint="default" w:ascii="Times New Roman" w:hAnsi="Times New Roman" w:eastAsia="宋体" w:cs="Times New Roman"/>
          <w:sz w:val="24"/>
          <w:lang w:val="en-US" w:eastAsia="zh-CN"/>
        </w:rPr>
        <w:t>为</w:t>
      </w:r>
      <w:r>
        <w:rPr>
          <w:rFonts w:hint="default" w:ascii="Times New Roman" w:hAnsi="Times New Roman" w:eastAsia="宋体" w:cs="Times New Roman"/>
          <w:sz w:val="24"/>
        </w:rPr>
        <w:t>满足应急处置，建立污染源头、处理过程和最终排放的“三级防控”机制，确保事故状态下废水不会对环境造成危害。</w:t>
      </w:r>
    </w:p>
    <w:p>
      <w:pPr>
        <w:keepNext w:val="0"/>
        <w:keepLines w:val="0"/>
        <w:pageBreakBefore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第一级防控措施是设置装置区围堰和罐区防火堤，构筑生产过程中环境安全的第一层防控网，是泄漏物料切换到处理系统，防止污染雨水和轻微事故泄漏造成的环境污染；</w:t>
      </w:r>
    </w:p>
    <w:p>
      <w:pPr>
        <w:keepNext w:val="0"/>
        <w:keepLines w:val="0"/>
        <w:pageBreakBefore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第二级防控措施是在产生剧毒或者污染严重污染物的装置或厂区设置</w:t>
      </w:r>
      <w:r>
        <w:rPr>
          <w:rFonts w:hint="default" w:ascii="Times New Roman" w:hAnsi="Times New Roman" w:eastAsia="宋体" w:cs="Times New Roman"/>
          <w:sz w:val="24"/>
          <w:lang w:val="en-US" w:eastAsia="zh-CN"/>
        </w:rPr>
        <w:t>污水提升池、污水调节罐、事故水罐</w:t>
      </w:r>
      <w:r>
        <w:rPr>
          <w:rFonts w:hint="default" w:ascii="Times New Roman" w:hAnsi="Times New Roman" w:eastAsia="宋体" w:cs="Times New Roman"/>
          <w:sz w:val="24"/>
        </w:rPr>
        <w:t>，切断污染物与外部的通道、导入污水处理系统，将污染控制在厂内，防止重大事故泄漏物料和污染消防水造成的环境污染；</w:t>
      </w:r>
    </w:p>
    <w:p>
      <w:pPr>
        <w:keepNext w:val="0"/>
        <w:keepLines w:val="0"/>
        <w:pageBreakBefore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第三级防控措施是在</w:t>
      </w:r>
      <w:r>
        <w:rPr>
          <w:rFonts w:hint="default" w:ascii="Times New Roman" w:hAnsi="Times New Roman" w:eastAsia="宋体" w:cs="Times New Roman"/>
          <w:sz w:val="24"/>
          <w:lang w:val="en-US" w:eastAsia="zh-CN"/>
        </w:rPr>
        <w:t>厂区内设置事故池、雨水池及污水处理站，同时设置污水总排口切断措施。</w:t>
      </w:r>
      <w:r>
        <w:rPr>
          <w:rFonts w:hint="default" w:ascii="Times New Roman" w:hAnsi="Times New Roman" w:eastAsia="宋体" w:cs="Times New Roman"/>
          <w:sz w:val="24"/>
        </w:rPr>
        <w:t>作为事故状态下的储存</w:t>
      </w:r>
      <w:r>
        <w:rPr>
          <w:rFonts w:hint="default" w:ascii="Times New Roman" w:hAnsi="Times New Roman" w:eastAsia="宋体" w:cs="Times New Roman"/>
          <w:sz w:val="24"/>
          <w:lang w:eastAsia="zh-CN"/>
        </w:rPr>
        <w:t>、</w:t>
      </w:r>
      <w:r>
        <w:rPr>
          <w:rFonts w:hint="default" w:ascii="Times New Roman" w:hAnsi="Times New Roman" w:eastAsia="宋体" w:cs="Times New Roman"/>
          <w:sz w:val="24"/>
        </w:rPr>
        <w:t>调控</w:t>
      </w:r>
      <w:r>
        <w:rPr>
          <w:rFonts w:hint="default" w:ascii="Times New Roman" w:hAnsi="Times New Roman" w:eastAsia="宋体" w:cs="Times New Roman"/>
          <w:sz w:val="24"/>
          <w:lang w:eastAsia="zh-CN"/>
        </w:rPr>
        <w:t>、</w:t>
      </w:r>
      <w:r>
        <w:rPr>
          <w:rFonts w:hint="default" w:ascii="Times New Roman" w:hAnsi="Times New Roman" w:eastAsia="宋体" w:cs="Times New Roman"/>
          <w:sz w:val="24"/>
          <w:lang w:val="en-US" w:eastAsia="zh-CN"/>
        </w:rPr>
        <w:t>处理</w:t>
      </w:r>
      <w:r>
        <w:rPr>
          <w:rFonts w:hint="default" w:ascii="Times New Roman" w:hAnsi="Times New Roman" w:eastAsia="宋体" w:cs="Times New Roman"/>
          <w:sz w:val="24"/>
        </w:rPr>
        <w:t>手段，将污染物控制在区内，防止重大事故泄漏物料和污染消防水造成的环境污染。</w:t>
      </w:r>
    </w:p>
    <w:p>
      <w:pPr>
        <w:keepNext w:val="0"/>
        <w:keepLines w:val="0"/>
        <w:pageBreakBefore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kern w:val="0"/>
          <w:sz w:val="24"/>
          <w:highlight w:val="none"/>
          <w:lang w:val="en-US" w:eastAsia="zh-CN"/>
        </w:rPr>
        <w:t>目前</w:t>
      </w:r>
      <w:r>
        <w:rPr>
          <w:rFonts w:hint="default" w:ascii="Times New Roman" w:hAnsi="Times New Roman" w:eastAsia="宋体" w:cs="Times New Roman"/>
          <w:kern w:val="0"/>
          <w:sz w:val="24"/>
          <w:highlight w:val="none"/>
        </w:rPr>
        <w:t>公司建设了罐区围堤、装置围堰及雨污切换系统、11座污水提升池、3座5000m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污水调节罐和2座10000m</w:t>
      </w:r>
      <w:r>
        <w:rPr>
          <w:rFonts w:hint="default" w:ascii="Times New Roman" w:hAnsi="Times New Roman" w:eastAsia="宋体" w:cs="Times New Roman"/>
          <w:kern w:val="0"/>
          <w:sz w:val="24"/>
          <w:highlight w:val="none"/>
          <w:vertAlign w:val="superscript"/>
        </w:rPr>
        <w:t>3</w:t>
      </w:r>
      <w:r>
        <w:rPr>
          <w:rFonts w:hint="eastAsia" w:ascii="Times New Roman" w:hAnsi="Times New Roman" w:eastAsia="宋体" w:cs="Times New Roman"/>
          <w:kern w:val="0"/>
          <w:sz w:val="24"/>
          <w:highlight w:val="none"/>
          <w:lang w:val="en-US" w:eastAsia="zh-CN"/>
        </w:rPr>
        <w:t>污水调节水罐</w:t>
      </w:r>
      <w:r>
        <w:rPr>
          <w:rFonts w:hint="default" w:ascii="Times New Roman" w:hAnsi="Times New Roman" w:eastAsia="宋体" w:cs="Times New Roman"/>
          <w:kern w:val="0"/>
          <w:sz w:val="24"/>
          <w:highlight w:val="none"/>
        </w:rPr>
        <w:t>，总容积为35000m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。1座容积为15000m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的事故水收集池、利旧一座5000m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雨水池等三级防控系统，确保事故状态下的污水全部处于受控状态。</w:t>
      </w:r>
      <w:r>
        <w:rPr>
          <w:rFonts w:hint="default" w:ascii="Times New Roman" w:hAnsi="Times New Roman" w:eastAsia="宋体" w:cs="Times New Roman"/>
          <w:sz w:val="24"/>
        </w:rPr>
        <w:t>事故废水或消防废水的截留、收集和处理流程见图</w:t>
      </w:r>
      <w:r>
        <w:rPr>
          <w:rFonts w:hint="eastAsia" w:ascii="Times New Roman" w:hAnsi="Times New Roman" w:eastAsia="宋体" w:cs="Times New Roman"/>
          <w:sz w:val="24"/>
          <w:lang w:val="en-US" w:eastAsia="zh-CN"/>
        </w:rPr>
        <w:t>3.6-1</w:t>
      </w:r>
      <w:r>
        <w:rPr>
          <w:rFonts w:hint="default" w:ascii="Times New Roman" w:hAnsi="Times New Roman" w:eastAsia="宋体" w:cs="Times New Roman"/>
          <w:sz w:val="24"/>
        </w:rPr>
        <w:t>。</w:t>
      </w:r>
    </w:p>
    <w:p>
      <w:pPr>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sz w:val="24"/>
          <w:szCs w:val="24"/>
          <w:highlight w:val="none"/>
          <w:lang w:eastAsia="zh-CN"/>
        </w:rPr>
      </w:pPr>
      <w:r>
        <w:rPr>
          <w:rFonts w:hint="eastAsia" w:ascii="Times New Roman" w:hAnsi="Times New Roman" w:eastAsia="宋体" w:cs="Times New Roman"/>
          <w:b/>
          <w:sz w:val="24"/>
          <w:szCs w:val="24"/>
          <w:highlight w:val="none"/>
          <w:lang w:eastAsia="zh-CN"/>
        </w:rPr>
        <w:drawing>
          <wp:inline distT="0" distB="0" distL="114300" distR="114300">
            <wp:extent cx="5267325" cy="2571750"/>
            <wp:effectExtent l="0" t="0" r="9525" b="0"/>
            <wp:docPr id="27" name="图片 27"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图片1"/>
                    <pic:cNvPicPr>
                      <a:picLocks noChangeAspect="1"/>
                    </pic:cNvPicPr>
                  </pic:nvPicPr>
                  <pic:blipFill>
                    <a:blip r:embed="rId35"/>
                    <a:stretch>
                      <a:fillRect/>
                    </a:stretch>
                  </pic:blipFill>
                  <pic:spPr>
                    <a:xfrm>
                      <a:off x="0" y="0"/>
                      <a:ext cx="5267325" cy="2571750"/>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240" w:lineRule="auto"/>
        <w:jc w:val="center"/>
        <w:textAlignment w:val="auto"/>
        <w:rPr>
          <w:rFonts w:hint="eastAsia" w:asciiTheme="minorEastAsia" w:hAnsiTheme="minorEastAsia" w:eastAsiaTheme="minorEastAsia"/>
          <w:sz w:val="24"/>
          <w:lang w:eastAsia="zh-CN"/>
        </w:rPr>
      </w:pPr>
      <w:r>
        <w:rPr>
          <w:rFonts w:hint="default" w:ascii="Times New Roman" w:hAnsi="Times New Roman" w:cs="Times New Roman"/>
          <w:b/>
          <w:sz w:val="24"/>
          <w:szCs w:val="24"/>
          <w:highlight w:val="none"/>
        </w:rPr>
        <w:t>图</w:t>
      </w:r>
      <w:r>
        <w:rPr>
          <w:rFonts w:hint="default" w:ascii="Times New Roman" w:hAnsi="Times New Roman" w:cs="Times New Roman"/>
          <w:b/>
          <w:sz w:val="24"/>
          <w:szCs w:val="24"/>
          <w:highlight w:val="none"/>
          <w:lang w:val="en-US" w:eastAsia="zh-CN"/>
        </w:rPr>
        <w:t>3.</w:t>
      </w:r>
      <w:r>
        <w:rPr>
          <w:rFonts w:hint="eastAsia" w:ascii="Times New Roman" w:hAnsi="Times New Roman" w:cs="Times New Roman"/>
          <w:b/>
          <w:sz w:val="24"/>
          <w:szCs w:val="24"/>
          <w:highlight w:val="none"/>
          <w:lang w:val="en-US" w:eastAsia="zh-CN"/>
        </w:rPr>
        <w:t>6</w:t>
      </w:r>
      <w:r>
        <w:rPr>
          <w:rFonts w:hint="default" w:ascii="Times New Roman" w:hAnsi="Times New Roman" w:cs="Times New Roman"/>
          <w:b/>
          <w:sz w:val="24"/>
          <w:szCs w:val="24"/>
          <w:highlight w:val="none"/>
          <w:lang w:val="en-US" w:eastAsia="zh-CN"/>
        </w:rPr>
        <w:t xml:space="preserve">-1  </w:t>
      </w:r>
      <w:r>
        <w:rPr>
          <w:rFonts w:hint="default" w:ascii="Times New Roman" w:hAnsi="Times New Roman" w:cs="Times New Roman"/>
          <w:b/>
          <w:sz w:val="24"/>
          <w:szCs w:val="24"/>
          <w:highlight w:val="none"/>
        </w:rPr>
        <w:t xml:space="preserve"> 事故废水或消防废水</w:t>
      </w:r>
      <w:r>
        <w:rPr>
          <w:rFonts w:hint="default" w:ascii="Times New Roman" w:hAnsi="Times New Roman" w:cs="Times New Roman"/>
          <w:b/>
          <w:sz w:val="24"/>
          <w:szCs w:val="24"/>
          <w:highlight w:val="none"/>
          <w:lang w:val="en-US" w:eastAsia="zh-CN"/>
        </w:rPr>
        <w:t>三级防控措施</w:t>
      </w:r>
    </w:p>
    <w:p>
      <w:pPr>
        <w:pStyle w:val="6"/>
        <w:bidi w:val="0"/>
        <w:rPr>
          <w:rStyle w:val="43"/>
          <w:rFonts w:hint="eastAsia" w:cs="Times New Roman"/>
          <w:b/>
          <w:color w:val="auto"/>
        </w:rPr>
      </w:pPr>
      <w:r>
        <w:rPr>
          <w:rStyle w:val="43"/>
          <w:rFonts w:hint="eastAsia" w:cs="Times New Roman"/>
          <w:b/>
          <w:color w:val="auto"/>
          <w:lang w:val="en-US" w:eastAsia="zh-CN"/>
        </w:rPr>
        <w:t>3.6.3.6</w:t>
      </w:r>
      <w:r>
        <w:rPr>
          <w:rStyle w:val="43"/>
          <w:rFonts w:hint="default" w:cs="Times New Roman"/>
          <w:b/>
          <w:color w:val="auto"/>
          <w:lang w:val="en-US" w:eastAsia="zh-CN"/>
        </w:rPr>
        <w:t>事故水收集池</w:t>
      </w:r>
      <w:r>
        <w:rPr>
          <w:rStyle w:val="43"/>
          <w:rFonts w:hint="eastAsia" w:cs="Times New Roman"/>
          <w:b/>
          <w:color w:val="auto"/>
        </w:rPr>
        <w:t>管理措施</w:t>
      </w:r>
    </w:p>
    <w:p>
      <w:pPr>
        <w:keepNext w:val="0"/>
        <w:keepLines w:val="0"/>
        <w:pageBreakBefore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highlight w:val="none"/>
          <w:lang w:val="en-US" w:eastAsia="zh-CN"/>
        </w:rPr>
      </w:pPr>
      <w:r>
        <w:rPr>
          <w:rFonts w:hint="eastAsia" w:ascii="Times New Roman" w:hAnsi="Times New Roman" w:eastAsia="宋体" w:cs="Times New Roman"/>
          <w:color w:val="auto"/>
          <w:kern w:val="0"/>
          <w:sz w:val="24"/>
          <w:highlight w:val="none"/>
          <w:lang w:val="en-US" w:eastAsia="zh-CN"/>
        </w:rPr>
        <w:t>本项目现有</w:t>
      </w:r>
      <w:r>
        <w:rPr>
          <w:rFonts w:hint="default" w:ascii="Times New Roman" w:hAnsi="Times New Roman" w:eastAsia="宋体" w:cs="Times New Roman"/>
          <w:color w:val="auto"/>
          <w:kern w:val="0"/>
          <w:sz w:val="24"/>
          <w:highlight w:val="none"/>
          <w:lang w:val="en-US" w:eastAsia="zh-CN"/>
        </w:rPr>
        <w:t>1座容积为15000m</w:t>
      </w:r>
      <w:r>
        <w:rPr>
          <w:rFonts w:hint="default" w:ascii="Times New Roman" w:hAnsi="Times New Roman" w:eastAsia="宋体" w:cs="Times New Roman"/>
          <w:color w:val="auto"/>
          <w:kern w:val="0"/>
          <w:sz w:val="24"/>
          <w:highlight w:val="none"/>
          <w:vertAlign w:val="superscript"/>
          <w:lang w:val="en-US" w:eastAsia="zh-CN"/>
        </w:rPr>
        <w:t>3</w:t>
      </w:r>
      <w:r>
        <w:rPr>
          <w:rFonts w:hint="default" w:ascii="Times New Roman" w:hAnsi="Times New Roman" w:eastAsia="宋体" w:cs="Times New Roman"/>
          <w:color w:val="auto"/>
          <w:kern w:val="0"/>
          <w:sz w:val="24"/>
          <w:highlight w:val="none"/>
          <w:lang w:val="en-US" w:eastAsia="zh-CN"/>
        </w:rPr>
        <w:t>的事故水收集池</w:t>
      </w:r>
      <w:r>
        <w:rPr>
          <w:rFonts w:hint="eastAsia" w:ascii="Times New Roman" w:hAnsi="Times New Roman" w:eastAsia="宋体" w:cs="Times New Roman"/>
          <w:color w:val="auto"/>
          <w:kern w:val="0"/>
          <w:sz w:val="24"/>
          <w:highlight w:val="none"/>
          <w:lang w:val="en-US" w:eastAsia="zh-CN"/>
        </w:rPr>
        <w:t>，企业建立了事故水收集池的相关管理制度</w:t>
      </w:r>
      <w:r>
        <w:rPr>
          <w:rFonts w:hint="eastAsia" w:ascii="Times New Roman" w:hAnsi="Times New Roman" w:cs="Times New Roman"/>
          <w:color w:val="auto"/>
          <w:kern w:val="0"/>
          <w:sz w:val="24"/>
          <w:highlight w:val="none"/>
          <w:lang w:val="en-US" w:eastAsia="zh-CN"/>
        </w:rPr>
        <w:t>，并由当日班组巡视检查。事故水池专项管理方案见附件10。</w:t>
      </w:r>
    </w:p>
    <w:p>
      <w:pPr>
        <w:keepNext w:val="0"/>
        <w:keepLines w:val="0"/>
        <w:pageBreakBefore w:val="0"/>
        <w:widowControl w:val="0"/>
        <w:numPr>
          <w:ilvl w:val="0"/>
          <w:numId w:val="4"/>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事故应急池日常管理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1、严禁随意往</w:t>
      </w:r>
      <w:r>
        <w:rPr>
          <w:rFonts w:hint="default" w:ascii="Times New Roman" w:hAnsi="Times New Roman" w:eastAsia="宋体" w:cs="Times New Roman"/>
          <w:color w:val="auto"/>
          <w:kern w:val="0"/>
          <w:sz w:val="24"/>
          <w:highlight w:val="none"/>
          <w:lang w:val="en-US" w:eastAsia="zh-CN"/>
        </w:rPr>
        <w:t>事故水收集池</w:t>
      </w:r>
      <w:r>
        <w:rPr>
          <w:rFonts w:hint="default" w:ascii="Times New Roman" w:hAnsi="Times New Roman" w:eastAsia="宋体" w:cs="Times New Roman"/>
          <w:color w:val="auto"/>
          <w:kern w:val="0"/>
          <w:sz w:val="24"/>
          <w:highlight w:val="none"/>
        </w:rPr>
        <w:t>排放、倾倒超标废水、</w:t>
      </w:r>
      <w:r>
        <w:rPr>
          <w:rFonts w:hint="eastAsia" w:ascii="Times New Roman" w:hAnsi="Times New Roman" w:eastAsia="宋体" w:cs="Times New Roman"/>
          <w:color w:val="auto"/>
          <w:kern w:val="0"/>
          <w:sz w:val="24"/>
          <w:highlight w:val="none"/>
          <w:lang w:eastAsia="zh-CN"/>
        </w:rPr>
        <w:t>工业废水</w:t>
      </w:r>
      <w:r>
        <w:rPr>
          <w:rFonts w:hint="default" w:ascii="Times New Roman" w:hAnsi="Times New Roman" w:eastAsia="宋体" w:cs="Times New Roman"/>
          <w:color w:val="auto"/>
          <w:kern w:val="0"/>
          <w:sz w:val="24"/>
          <w:highlight w:val="none"/>
        </w:rPr>
        <w:t>、生活垃圾和其它废弃物。</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2、各部门应采取切实有效措施防止污水、油类等物料串入</w:t>
      </w:r>
      <w:r>
        <w:rPr>
          <w:rFonts w:hint="default" w:ascii="Times New Roman" w:hAnsi="Times New Roman" w:eastAsia="宋体" w:cs="Times New Roman"/>
          <w:color w:val="auto"/>
          <w:kern w:val="0"/>
          <w:sz w:val="24"/>
          <w:highlight w:val="none"/>
          <w:lang w:val="en-US" w:eastAsia="zh-CN"/>
        </w:rPr>
        <w:t>事故水收集池</w:t>
      </w:r>
      <w:r>
        <w:rPr>
          <w:rFonts w:hint="default" w:ascii="Times New Roman" w:hAnsi="Times New Roman" w:eastAsia="宋体" w:cs="Times New Roman"/>
          <w:color w:val="auto"/>
          <w:kern w:val="0"/>
          <w:sz w:val="24"/>
          <w:highlight w:val="none"/>
        </w:rPr>
        <w:t>系统。</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3、各生产部门事故应急池的管理，要确保废水及时排往公司污水处理车</w:t>
      </w:r>
      <w:r>
        <w:rPr>
          <w:rFonts w:hint="eastAsia" w:ascii="Times New Roman" w:hAnsi="Times New Roman" w:eastAsia="宋体" w:cs="Times New Roman"/>
          <w:color w:val="auto"/>
          <w:kern w:val="0"/>
          <w:sz w:val="24"/>
          <w:highlight w:val="none"/>
          <w:lang w:eastAsia="zh-CN"/>
        </w:rPr>
        <w:t>间</w:t>
      </w:r>
      <w:r>
        <w:rPr>
          <w:rFonts w:hint="default" w:ascii="Times New Roman" w:hAnsi="Times New Roman" w:eastAsia="宋体" w:cs="Times New Roman"/>
          <w:color w:val="auto"/>
          <w:kern w:val="0"/>
          <w:sz w:val="24"/>
          <w:highlight w:val="none"/>
        </w:rPr>
        <w:t>，避免冒池串入雨水系统。</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4、生产装置停工检修或处理故障，应严格按停工检修环保制度执行，文明停车、吹扫、排放，避免冲击性排水。严禁将高含硫、含氨、酸碱等污水及油品物料直排下水道。</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5、正常状态</w:t>
      </w:r>
      <w:r>
        <w:rPr>
          <w:rFonts w:hint="eastAsia" w:ascii="Times New Roman" w:hAnsi="Times New Roman" w:eastAsia="宋体" w:cs="Times New Roman"/>
          <w:color w:val="auto"/>
          <w:kern w:val="0"/>
          <w:sz w:val="24"/>
          <w:highlight w:val="none"/>
          <w:lang w:eastAsia="zh-CN"/>
        </w:rPr>
        <w:t>下</w:t>
      </w:r>
      <w:r>
        <w:rPr>
          <w:rFonts w:hint="default" w:ascii="Times New Roman" w:hAnsi="Times New Roman" w:eastAsia="宋体" w:cs="Times New Roman"/>
          <w:color w:val="auto"/>
          <w:kern w:val="0"/>
          <w:sz w:val="24"/>
          <w:highlight w:val="none"/>
        </w:rPr>
        <w:t>应保持</w:t>
      </w:r>
      <w:r>
        <w:rPr>
          <w:rFonts w:hint="default" w:ascii="Times New Roman" w:hAnsi="Times New Roman" w:eastAsia="宋体" w:cs="Times New Roman"/>
          <w:color w:val="auto"/>
          <w:kern w:val="0"/>
          <w:sz w:val="24"/>
          <w:highlight w:val="none"/>
          <w:lang w:val="en-US" w:eastAsia="zh-CN"/>
        </w:rPr>
        <w:t>事故水收集池</w:t>
      </w:r>
      <w:r>
        <w:rPr>
          <w:rFonts w:hint="default" w:ascii="Times New Roman" w:hAnsi="Times New Roman" w:eastAsia="宋体" w:cs="Times New Roman"/>
          <w:color w:val="auto"/>
          <w:kern w:val="0"/>
          <w:sz w:val="24"/>
          <w:highlight w:val="none"/>
        </w:rPr>
        <w:t xml:space="preserve">空池状态，并确保相关设备处于良好的备用状态。 </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6、</w:t>
      </w:r>
      <w:r>
        <w:rPr>
          <w:rFonts w:hint="default" w:ascii="Times New Roman" w:hAnsi="Times New Roman" w:eastAsia="宋体" w:cs="Times New Roman"/>
          <w:color w:val="auto"/>
          <w:kern w:val="0"/>
          <w:sz w:val="24"/>
          <w:highlight w:val="none"/>
          <w:lang w:val="en-US" w:eastAsia="zh-CN"/>
        </w:rPr>
        <w:t>事故水收集池</w:t>
      </w:r>
      <w:r>
        <w:rPr>
          <w:rFonts w:hint="default" w:ascii="Times New Roman" w:hAnsi="Times New Roman" w:eastAsia="宋体" w:cs="Times New Roman"/>
          <w:color w:val="auto"/>
          <w:kern w:val="0"/>
          <w:sz w:val="24"/>
          <w:highlight w:val="none"/>
        </w:rPr>
        <w:t>应及时清理池内杂物及淤泥，以免对污水处理系统产生不良影响。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7、生产班组对</w:t>
      </w:r>
      <w:r>
        <w:rPr>
          <w:rFonts w:hint="default" w:ascii="Times New Roman" w:hAnsi="Times New Roman" w:eastAsia="宋体" w:cs="Times New Roman"/>
          <w:color w:val="auto"/>
          <w:kern w:val="0"/>
          <w:sz w:val="24"/>
          <w:highlight w:val="none"/>
          <w:lang w:val="en-US" w:eastAsia="zh-CN"/>
        </w:rPr>
        <w:t>事故水收集池</w:t>
      </w:r>
      <w:r>
        <w:rPr>
          <w:rFonts w:hint="default" w:ascii="Times New Roman" w:hAnsi="Times New Roman" w:eastAsia="宋体" w:cs="Times New Roman"/>
          <w:color w:val="auto"/>
          <w:kern w:val="0"/>
          <w:sz w:val="24"/>
          <w:highlight w:val="none"/>
        </w:rPr>
        <w:t>内的污水应及时用泵送到公司污水处理车间进行处理，确保</w:t>
      </w:r>
      <w:r>
        <w:rPr>
          <w:rFonts w:hint="default" w:ascii="Times New Roman" w:hAnsi="Times New Roman" w:eastAsia="宋体" w:cs="Times New Roman"/>
          <w:color w:val="auto"/>
          <w:kern w:val="0"/>
          <w:sz w:val="24"/>
          <w:highlight w:val="none"/>
          <w:lang w:val="en-US" w:eastAsia="zh-CN"/>
        </w:rPr>
        <w:t>事故水收集池</w:t>
      </w:r>
      <w:r>
        <w:rPr>
          <w:rFonts w:hint="default" w:ascii="Times New Roman" w:hAnsi="Times New Roman" w:eastAsia="宋体" w:cs="Times New Roman"/>
          <w:color w:val="auto"/>
          <w:kern w:val="0"/>
          <w:sz w:val="24"/>
          <w:highlight w:val="none"/>
        </w:rPr>
        <w:t>在正常状况下处于低液位。</w:t>
      </w:r>
    </w:p>
    <w:p>
      <w:pPr>
        <w:keepNext w:val="0"/>
        <w:keepLines w:val="0"/>
        <w:pageBreakBefore w:val="0"/>
        <w:widowControl w:val="0"/>
        <w:numPr>
          <w:ilvl w:val="0"/>
          <w:numId w:val="4"/>
        </w:numPr>
        <w:kinsoku/>
        <w:wordWrap/>
        <w:overflowPunct/>
        <w:topLinePunct w:val="0"/>
        <w:autoSpaceDE/>
        <w:autoSpaceDN/>
        <w:bidi w:val="0"/>
        <w:adjustRightInd/>
        <w:snapToGrid/>
        <w:spacing w:line="560" w:lineRule="exact"/>
        <w:ind w:left="0" w:leftChars="0"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事故应急池异常管理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eastAsia="宋体" w:cs="Times New Roman"/>
          <w:color w:val="auto"/>
          <w:kern w:val="0"/>
          <w:sz w:val="24"/>
          <w:highlight w:val="none"/>
          <w:lang w:eastAsia="zh-CN"/>
        </w:rPr>
      </w:pPr>
      <w:r>
        <w:rPr>
          <w:rFonts w:hint="default" w:ascii="Times New Roman" w:hAnsi="Times New Roman" w:eastAsia="宋体" w:cs="Times New Roman"/>
          <w:color w:val="auto"/>
          <w:kern w:val="0"/>
          <w:sz w:val="24"/>
          <w:highlight w:val="none"/>
        </w:rPr>
        <w:t>1、生产班组应加强对</w:t>
      </w:r>
      <w:r>
        <w:rPr>
          <w:rFonts w:hint="default" w:ascii="Times New Roman" w:hAnsi="Times New Roman" w:eastAsia="宋体" w:cs="Times New Roman"/>
          <w:color w:val="auto"/>
          <w:kern w:val="0"/>
          <w:sz w:val="24"/>
          <w:highlight w:val="none"/>
          <w:lang w:val="en-US" w:eastAsia="zh-CN"/>
        </w:rPr>
        <w:t>事故水收集池</w:t>
      </w:r>
      <w:r>
        <w:rPr>
          <w:rFonts w:hint="default" w:ascii="Times New Roman" w:hAnsi="Times New Roman" w:eastAsia="宋体" w:cs="Times New Roman"/>
          <w:color w:val="auto"/>
          <w:kern w:val="0"/>
          <w:sz w:val="24"/>
          <w:highlight w:val="none"/>
        </w:rPr>
        <w:t>的管理和巡检，一旦发现异常</w:t>
      </w:r>
      <w:r>
        <w:rPr>
          <w:rFonts w:hint="eastAsia" w:ascii="Times New Roman" w:hAnsi="Times New Roman" w:eastAsia="宋体" w:cs="Times New Roman"/>
          <w:color w:val="auto"/>
          <w:kern w:val="0"/>
          <w:sz w:val="24"/>
          <w:highlight w:val="none"/>
          <w:lang w:eastAsia="zh-CN"/>
        </w:rPr>
        <w:t>情</w:t>
      </w:r>
      <w:r>
        <w:rPr>
          <w:rFonts w:hint="default" w:ascii="Times New Roman" w:hAnsi="Times New Roman" w:eastAsia="宋体" w:cs="Times New Roman"/>
          <w:color w:val="auto"/>
          <w:kern w:val="0"/>
          <w:sz w:val="24"/>
          <w:highlight w:val="none"/>
        </w:rPr>
        <w:t>况</w:t>
      </w:r>
      <w:r>
        <w:rPr>
          <w:rFonts w:hint="eastAsia" w:ascii="Times New Roman" w:hAnsi="Times New Roman" w:eastAsia="宋体" w:cs="Times New Roman"/>
          <w:color w:val="auto"/>
          <w:kern w:val="0"/>
          <w:sz w:val="24"/>
          <w:highlight w:val="none"/>
          <w:lang w:eastAsia="zh-CN"/>
        </w:rPr>
        <w:t>，</w:t>
      </w:r>
      <w:r>
        <w:rPr>
          <w:rFonts w:hint="default" w:ascii="Times New Roman" w:hAnsi="Times New Roman" w:eastAsia="宋体" w:cs="Times New Roman"/>
          <w:color w:val="auto"/>
          <w:kern w:val="0"/>
          <w:sz w:val="24"/>
          <w:highlight w:val="none"/>
        </w:rPr>
        <w:t>应按相关规程及时处理，以免污染外部水体</w:t>
      </w:r>
      <w:r>
        <w:rPr>
          <w:rFonts w:hint="eastAsia" w:ascii="Times New Roman" w:hAnsi="Times New Roman" w:eastAsia="宋体" w:cs="Times New Roman"/>
          <w:color w:val="auto"/>
          <w:kern w:val="0"/>
          <w:sz w:val="24"/>
          <w:highlight w:val="no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2、当遇暴雨等恶劣天气，开、停工、检修、蒸汽吹扫或者事故状态</w:t>
      </w:r>
      <w:r>
        <w:rPr>
          <w:rFonts w:hint="eastAsia" w:ascii="Times New Roman" w:hAnsi="Times New Roman" w:eastAsia="宋体" w:cs="Times New Roman"/>
          <w:color w:val="auto"/>
          <w:kern w:val="0"/>
          <w:sz w:val="24"/>
          <w:highlight w:val="none"/>
          <w:lang w:eastAsia="zh-CN"/>
        </w:rPr>
        <w:t>下</w:t>
      </w:r>
      <w:r>
        <w:rPr>
          <w:rFonts w:hint="default" w:ascii="Times New Roman" w:hAnsi="Times New Roman" w:eastAsia="宋体" w:cs="Times New Roman"/>
          <w:color w:val="auto"/>
          <w:kern w:val="0"/>
          <w:sz w:val="24"/>
          <w:highlight w:val="none"/>
        </w:rPr>
        <w:t>，应加强现场巡检，及时向生产管理</w:t>
      </w:r>
      <w:r>
        <w:rPr>
          <w:rFonts w:hint="eastAsia" w:ascii="Times New Roman" w:hAnsi="Times New Roman" w:eastAsia="宋体" w:cs="Times New Roman"/>
          <w:color w:val="auto"/>
          <w:kern w:val="0"/>
          <w:sz w:val="24"/>
          <w:highlight w:val="none"/>
          <w:lang w:eastAsia="zh-CN"/>
        </w:rPr>
        <w:t>部门</w:t>
      </w:r>
      <w:r>
        <w:rPr>
          <w:rFonts w:hint="default" w:ascii="Times New Roman" w:hAnsi="Times New Roman" w:eastAsia="宋体" w:cs="Times New Roman"/>
          <w:color w:val="auto"/>
          <w:kern w:val="0"/>
          <w:sz w:val="24"/>
          <w:highlight w:val="none"/>
        </w:rPr>
        <w:t>报告现场处置情况。</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3、异常状态下收集的消防水、生产废水、物料水及前期雨水应尽快处理完毕，保持</w:t>
      </w:r>
      <w:r>
        <w:rPr>
          <w:rFonts w:hint="default" w:ascii="Times New Roman" w:hAnsi="Times New Roman" w:eastAsia="宋体" w:cs="Times New Roman"/>
          <w:color w:val="auto"/>
          <w:kern w:val="0"/>
          <w:sz w:val="24"/>
          <w:highlight w:val="none"/>
          <w:lang w:val="en-US" w:eastAsia="zh-CN"/>
        </w:rPr>
        <w:t>事故水收集池</w:t>
      </w:r>
      <w:r>
        <w:rPr>
          <w:rFonts w:hint="default" w:ascii="Times New Roman" w:hAnsi="Times New Roman" w:eastAsia="宋体" w:cs="Times New Roman"/>
          <w:color w:val="auto"/>
          <w:kern w:val="0"/>
          <w:sz w:val="24"/>
          <w:highlight w:val="none"/>
        </w:rPr>
        <w:t>处于低液位状态。</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color w:val="auto"/>
          <w:kern w:val="0"/>
          <w:sz w:val="24"/>
          <w:highlight w:val="none"/>
        </w:rPr>
      </w:pPr>
      <w:r>
        <w:rPr>
          <w:rFonts w:hint="default" w:ascii="Times New Roman" w:hAnsi="Times New Roman" w:eastAsia="宋体" w:cs="Times New Roman"/>
          <w:color w:val="auto"/>
          <w:kern w:val="0"/>
          <w:sz w:val="24"/>
          <w:highlight w:val="none"/>
        </w:rPr>
        <w:t>4、</w:t>
      </w:r>
      <w:r>
        <w:rPr>
          <w:rFonts w:hint="default" w:ascii="Times New Roman" w:hAnsi="Times New Roman" w:eastAsia="宋体" w:cs="Times New Roman"/>
          <w:color w:val="auto"/>
          <w:kern w:val="0"/>
          <w:sz w:val="24"/>
          <w:highlight w:val="none"/>
          <w:lang w:val="en-US" w:eastAsia="zh-CN"/>
        </w:rPr>
        <w:t>事故水收集池</w:t>
      </w:r>
      <w:r>
        <w:rPr>
          <w:rFonts w:hint="default" w:ascii="Times New Roman" w:hAnsi="Times New Roman" w:eastAsia="宋体" w:cs="Times New Roman"/>
          <w:color w:val="auto"/>
          <w:kern w:val="0"/>
          <w:sz w:val="24"/>
          <w:highlight w:val="none"/>
        </w:rPr>
        <w:t>相关附属设备若有异常情况应及时维修，确保设备处于良好的备用状态：</w:t>
      </w:r>
    </w:p>
    <w:p>
      <w:pPr>
        <w:pStyle w:val="12"/>
        <w:ind w:left="0" w:leftChars="0" w:firstLine="0" w:firstLineChars="0"/>
        <w:rPr>
          <w:rFonts w:hint="default"/>
          <w:color w:val="auto"/>
        </w:rPr>
      </w:pPr>
    </w:p>
    <w:p>
      <w:pPr>
        <w:pStyle w:val="3"/>
        <w:bidi w:val="0"/>
        <w:rPr>
          <w:rFonts w:hint="eastAsia" w:ascii="宋体" w:hAnsi="宋体" w:eastAsia="宋体" w:cs="宋体"/>
          <w:color w:val="auto"/>
        </w:rPr>
      </w:pPr>
      <w:r>
        <w:rPr>
          <w:rFonts w:hint="eastAsia" w:ascii="宋体" w:hAnsi="宋体" w:eastAsia="宋体" w:cs="宋体"/>
          <w:b/>
          <w:bCs/>
          <w:color w:val="FF0000"/>
          <w:sz w:val="24"/>
        </w:rPr>
        <w:br w:type="page"/>
      </w:r>
      <w:bookmarkStart w:id="232" w:name="_Toc32140"/>
      <w:bookmarkStart w:id="233" w:name="_Toc8760"/>
      <w:bookmarkStart w:id="234" w:name="_Toc11137"/>
      <w:bookmarkStart w:id="235" w:name="_Toc22621"/>
      <w:r>
        <w:rPr>
          <w:rFonts w:hint="eastAsia" w:ascii="宋体" w:hAnsi="宋体" w:eastAsia="宋体" w:cs="宋体"/>
          <w:color w:val="auto"/>
          <w:lang w:val="en-US" w:eastAsia="zh-CN"/>
        </w:rPr>
        <w:t>4</w:t>
      </w:r>
      <w:r>
        <w:rPr>
          <w:rFonts w:hint="eastAsia" w:ascii="宋体" w:hAnsi="宋体" w:eastAsia="宋体" w:cs="宋体"/>
          <w:color w:val="auto"/>
        </w:rPr>
        <w:t>组织机构及职责</w:t>
      </w:r>
      <w:bookmarkEnd w:id="232"/>
      <w:bookmarkEnd w:id="233"/>
      <w:bookmarkEnd w:id="234"/>
      <w:bookmarkEnd w:id="235"/>
    </w:p>
    <w:p>
      <w:pPr>
        <w:pStyle w:val="4"/>
        <w:bidi w:val="0"/>
        <w:outlineLvl w:val="1"/>
        <w:rPr>
          <w:rFonts w:hint="eastAsia" w:ascii="宋体" w:hAnsi="宋体" w:eastAsia="宋体" w:cs="宋体"/>
          <w:color w:val="auto"/>
        </w:rPr>
      </w:pPr>
      <w:bookmarkStart w:id="236" w:name="_Toc20643"/>
      <w:bookmarkStart w:id="237" w:name="_Toc7807"/>
      <w:bookmarkStart w:id="238" w:name="_Toc13856"/>
      <w:bookmarkStart w:id="239" w:name="_Toc3852"/>
      <w:bookmarkStart w:id="240" w:name="_Toc16393"/>
      <w:bookmarkStart w:id="241" w:name="_Toc478820588"/>
      <w:bookmarkStart w:id="242" w:name="_Toc18923"/>
      <w:bookmarkStart w:id="243" w:name="_Toc24260"/>
      <w:bookmarkStart w:id="244" w:name="_Toc12250"/>
      <w:bookmarkStart w:id="245" w:name="_Toc15465"/>
      <w:bookmarkStart w:id="246" w:name="_Toc7656"/>
      <w:bookmarkStart w:id="247" w:name="_Toc21309"/>
      <w:bookmarkStart w:id="248" w:name="_Toc19551"/>
      <w:bookmarkStart w:id="249" w:name="_Toc262"/>
      <w:bookmarkStart w:id="250" w:name="_Toc22360"/>
      <w:bookmarkStart w:id="251" w:name="_Toc22485"/>
      <w:bookmarkStart w:id="252" w:name="_Toc13474"/>
      <w:r>
        <w:rPr>
          <w:rFonts w:hint="eastAsia" w:ascii="宋体" w:hAnsi="宋体" w:eastAsia="宋体" w:cs="宋体"/>
          <w:color w:val="auto"/>
          <w:lang w:val="en-US" w:eastAsia="zh-CN"/>
        </w:rPr>
        <w:t>4</w:t>
      </w:r>
      <w:r>
        <w:rPr>
          <w:rFonts w:hint="eastAsia" w:ascii="宋体" w:hAnsi="宋体" w:eastAsia="宋体" w:cs="宋体"/>
          <w:color w:val="auto"/>
        </w:rPr>
        <w:t>.1组织体系</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pPr>
        <w:pStyle w:val="18"/>
        <w:pageBreakBefore w:val="0"/>
        <w:kinsoku/>
        <w:wordWrap/>
        <w:overflowPunct/>
        <w:topLinePunct w:val="0"/>
        <w:autoSpaceDE/>
        <w:autoSpaceDN/>
        <w:bidi w:val="0"/>
        <w:adjustRightInd/>
        <w:snapToGrid/>
        <w:spacing w:beforeAutospacing="0" w:afterAutospacing="0" w:line="560" w:lineRule="exact"/>
        <w:ind w:firstLine="480" w:firstLineChars="200"/>
        <w:textAlignment w:val="auto"/>
        <w:rPr>
          <w:rFonts w:hint="eastAsia" w:eastAsia="宋体" w:cs="Times New Roman" w:asciiTheme="minorEastAsia" w:hAnsiTheme="minorEastAsia"/>
          <w:bCs/>
          <w:color w:val="auto"/>
          <w:szCs w:val="21"/>
        </w:rPr>
      </w:pPr>
      <w:bookmarkStart w:id="253" w:name="_Toc25693"/>
      <w:bookmarkStart w:id="254" w:name="_Toc12760"/>
      <w:bookmarkStart w:id="255" w:name="_Toc26031"/>
      <w:bookmarkStart w:id="256" w:name="_Toc31780"/>
      <w:bookmarkStart w:id="257" w:name="_Toc8926"/>
      <w:bookmarkStart w:id="258" w:name="_Toc11593"/>
      <w:bookmarkStart w:id="259" w:name="_Toc17739"/>
      <w:r>
        <w:rPr>
          <w:rFonts w:hint="eastAsia" w:cs="Times New Roman" w:asciiTheme="minorEastAsia" w:hAnsiTheme="minorEastAsia"/>
          <w:bCs/>
          <w:color w:val="auto"/>
        </w:rPr>
        <w:t>公司成立应急领导小组</w:t>
      </w:r>
      <w:r>
        <w:rPr>
          <w:rFonts w:cs="Times New Roman" w:asciiTheme="minorEastAsia" w:hAnsiTheme="minorEastAsia"/>
          <w:bCs/>
          <w:color w:val="auto"/>
        </w:rPr>
        <w:t>。</w:t>
      </w:r>
      <w:r>
        <w:rPr>
          <w:rFonts w:hint="eastAsia" w:cs="Times New Roman" w:asciiTheme="minorEastAsia" w:hAnsiTheme="minorEastAsia"/>
          <w:bCs/>
          <w:color w:val="auto"/>
        </w:rPr>
        <w:t>由组长、副组长和应急领导小组办公室下设的7个应急小组组成。公司执行董事、党委书记；总经理、党委副书记为组长，公司副总经理为副组长，各部室负责人及其他环保人员为指挥部成员，负责现场指挥</w:t>
      </w:r>
      <w:r>
        <w:rPr>
          <w:rFonts w:hint="eastAsia" w:eastAsia="宋体" w:cs="Times New Roman" w:asciiTheme="minorEastAsia" w:hAnsiTheme="minorEastAsia"/>
          <w:bCs/>
          <w:color w:val="auto"/>
          <w:szCs w:val="21"/>
        </w:rPr>
        <w:t>和相关救援工作。</w:t>
      </w:r>
    </w:p>
    <w:p>
      <w:pPr>
        <w:pStyle w:val="18"/>
        <w:pageBreakBefore w:val="0"/>
        <w:kinsoku/>
        <w:wordWrap/>
        <w:overflowPunct/>
        <w:topLinePunct w:val="0"/>
        <w:autoSpaceDE/>
        <w:autoSpaceDN/>
        <w:bidi w:val="0"/>
        <w:adjustRightInd/>
        <w:snapToGrid/>
        <w:spacing w:beforeAutospacing="0" w:afterAutospacing="0" w:line="560" w:lineRule="exact"/>
        <w:ind w:firstLine="480" w:firstLineChars="200"/>
        <w:textAlignment w:val="auto"/>
        <w:rPr>
          <w:rFonts w:hint="eastAsia" w:eastAsia="宋体" w:cs="Times New Roman" w:asciiTheme="minorEastAsia" w:hAnsiTheme="minorEastAsia"/>
          <w:bCs/>
          <w:color w:val="auto"/>
          <w:szCs w:val="21"/>
        </w:rPr>
      </w:pPr>
      <w:r>
        <w:rPr>
          <w:rFonts w:hint="eastAsia" w:eastAsia="宋体" w:cs="Times New Roman" w:asciiTheme="minorEastAsia" w:hAnsiTheme="minorEastAsia"/>
          <w:bCs/>
          <w:color w:val="auto"/>
          <w:szCs w:val="21"/>
        </w:rPr>
        <w:t>组长：刘</w:t>
      </w:r>
      <w:r>
        <w:rPr>
          <w:rFonts w:hint="eastAsia" w:eastAsia="宋体" w:cs="Times New Roman" w:asciiTheme="minorEastAsia" w:hAnsiTheme="minorEastAsia"/>
          <w:bCs/>
          <w:color w:val="auto"/>
          <w:szCs w:val="21"/>
          <w:lang w:val="en-US" w:eastAsia="zh-CN"/>
        </w:rPr>
        <w:t>振宏</w:t>
      </w:r>
    </w:p>
    <w:p>
      <w:pPr>
        <w:pStyle w:val="18"/>
        <w:pageBreakBefore w:val="0"/>
        <w:kinsoku/>
        <w:wordWrap/>
        <w:overflowPunct/>
        <w:topLinePunct w:val="0"/>
        <w:autoSpaceDE/>
        <w:autoSpaceDN/>
        <w:bidi w:val="0"/>
        <w:adjustRightInd/>
        <w:snapToGrid/>
        <w:spacing w:beforeAutospacing="0" w:afterAutospacing="0" w:line="560" w:lineRule="exact"/>
        <w:ind w:firstLine="480" w:firstLineChars="200"/>
        <w:textAlignment w:val="auto"/>
        <w:rPr>
          <w:rFonts w:hint="eastAsia" w:eastAsia="宋体" w:cs="Times New Roman" w:asciiTheme="minorEastAsia" w:hAnsiTheme="minorEastAsia"/>
          <w:bCs/>
          <w:color w:val="auto"/>
          <w:szCs w:val="21"/>
        </w:rPr>
      </w:pPr>
      <w:r>
        <w:rPr>
          <w:rFonts w:hint="eastAsia" w:eastAsia="宋体" w:cs="Times New Roman" w:asciiTheme="minorEastAsia" w:hAnsiTheme="minorEastAsia"/>
          <w:bCs/>
          <w:color w:val="auto"/>
          <w:szCs w:val="21"/>
        </w:rPr>
        <w:t>副组长：</w:t>
      </w:r>
      <w:r>
        <w:rPr>
          <w:rFonts w:hint="eastAsia" w:eastAsia="宋体" w:cs="Times New Roman" w:asciiTheme="minorEastAsia" w:hAnsiTheme="minorEastAsia"/>
          <w:bCs/>
          <w:color w:val="auto"/>
          <w:szCs w:val="21"/>
          <w:lang w:val="en-US" w:eastAsia="zh-CN"/>
        </w:rPr>
        <w:t>高耀廷</w:t>
      </w:r>
      <w:r>
        <w:rPr>
          <w:rFonts w:hint="eastAsia" w:eastAsia="宋体" w:cs="Times New Roman" w:asciiTheme="minorEastAsia" w:hAnsiTheme="minorEastAsia"/>
          <w:bCs/>
          <w:color w:val="auto"/>
          <w:szCs w:val="21"/>
        </w:rPr>
        <w:t>、</w:t>
      </w:r>
      <w:r>
        <w:rPr>
          <w:rFonts w:hint="eastAsia" w:eastAsia="宋体" w:cs="Times New Roman" w:asciiTheme="minorEastAsia" w:hAnsiTheme="minorEastAsia"/>
          <w:bCs/>
          <w:color w:val="auto"/>
          <w:szCs w:val="21"/>
          <w:lang w:val="en-US" w:eastAsia="zh-CN"/>
        </w:rPr>
        <w:t>刘树青</w:t>
      </w:r>
      <w:r>
        <w:rPr>
          <w:rFonts w:hint="eastAsia" w:eastAsia="宋体" w:cs="Times New Roman" w:asciiTheme="minorEastAsia" w:hAnsiTheme="minorEastAsia"/>
          <w:bCs/>
          <w:color w:val="auto"/>
          <w:szCs w:val="21"/>
        </w:rPr>
        <w:t>、</w:t>
      </w:r>
      <w:r>
        <w:rPr>
          <w:rFonts w:hint="eastAsia" w:eastAsia="宋体" w:cs="Times New Roman" w:asciiTheme="minorEastAsia" w:hAnsiTheme="minorEastAsia"/>
          <w:bCs/>
          <w:color w:val="auto"/>
          <w:szCs w:val="21"/>
          <w:lang w:val="en-US" w:eastAsia="zh-CN"/>
        </w:rPr>
        <w:t>王海波</w:t>
      </w:r>
      <w:r>
        <w:rPr>
          <w:rFonts w:hint="eastAsia" w:eastAsia="宋体" w:cs="Times New Roman" w:asciiTheme="minorEastAsia" w:hAnsiTheme="minorEastAsia"/>
          <w:bCs/>
          <w:color w:val="auto"/>
          <w:szCs w:val="21"/>
        </w:rPr>
        <w:t>、</w:t>
      </w:r>
      <w:r>
        <w:rPr>
          <w:rFonts w:hint="eastAsia" w:eastAsia="宋体" w:cs="Times New Roman" w:asciiTheme="minorEastAsia" w:hAnsiTheme="minorEastAsia"/>
          <w:bCs/>
          <w:color w:val="auto"/>
          <w:szCs w:val="21"/>
          <w:lang w:val="en-US" w:eastAsia="zh-CN"/>
        </w:rPr>
        <w:t>贺 健</w:t>
      </w:r>
      <w:r>
        <w:rPr>
          <w:rFonts w:hint="eastAsia" w:eastAsia="宋体" w:cs="Times New Roman" w:asciiTheme="minorEastAsia" w:hAnsiTheme="minorEastAsia"/>
          <w:bCs/>
          <w:color w:val="auto"/>
          <w:szCs w:val="21"/>
        </w:rPr>
        <w:t>、</w:t>
      </w:r>
      <w:r>
        <w:rPr>
          <w:rFonts w:hint="eastAsia" w:eastAsia="宋体" w:cs="Times New Roman" w:asciiTheme="minorEastAsia" w:hAnsiTheme="minorEastAsia"/>
          <w:bCs/>
          <w:color w:val="auto"/>
          <w:szCs w:val="21"/>
          <w:lang w:val="en-US" w:eastAsia="zh-CN"/>
        </w:rPr>
        <w:t>杨志和</w:t>
      </w:r>
      <w:r>
        <w:rPr>
          <w:rFonts w:hint="eastAsia" w:cs="Times New Roman" w:asciiTheme="minorEastAsia" w:hAnsiTheme="minorEastAsia"/>
          <w:bCs/>
          <w:color w:val="auto"/>
          <w:szCs w:val="21"/>
          <w:lang w:val="en-US" w:eastAsia="zh-CN"/>
        </w:rPr>
        <w:t>、</w:t>
      </w:r>
      <w:r>
        <w:rPr>
          <w:rFonts w:hint="eastAsia" w:eastAsia="宋体" w:cs="Times New Roman" w:asciiTheme="minorEastAsia" w:hAnsiTheme="minorEastAsia"/>
          <w:bCs/>
          <w:color w:val="auto"/>
          <w:szCs w:val="21"/>
        </w:rPr>
        <w:t>胡晓荣</w:t>
      </w:r>
    </w:p>
    <w:p>
      <w:pPr>
        <w:pStyle w:val="18"/>
        <w:pageBreakBefore w:val="0"/>
        <w:kinsoku/>
        <w:wordWrap/>
        <w:overflowPunct/>
        <w:topLinePunct w:val="0"/>
        <w:autoSpaceDE/>
        <w:autoSpaceDN/>
        <w:bidi w:val="0"/>
        <w:adjustRightInd/>
        <w:snapToGrid/>
        <w:spacing w:beforeAutospacing="0" w:afterAutospacing="0" w:line="560" w:lineRule="exact"/>
        <w:ind w:firstLine="480" w:firstLineChars="200"/>
        <w:textAlignment w:val="auto"/>
        <w:rPr>
          <w:rFonts w:hint="eastAsia" w:eastAsia="宋体" w:cs="Times New Roman" w:asciiTheme="minorEastAsia" w:hAnsiTheme="minorEastAsia"/>
          <w:bCs/>
          <w:color w:val="auto"/>
          <w:szCs w:val="21"/>
        </w:rPr>
      </w:pPr>
      <w:r>
        <w:rPr>
          <w:rFonts w:hint="eastAsia" w:eastAsia="宋体" w:cs="Times New Roman" w:asciiTheme="minorEastAsia" w:hAnsiTheme="minorEastAsia"/>
          <w:bCs/>
          <w:color w:val="auto"/>
          <w:szCs w:val="21"/>
        </w:rPr>
        <w:t>应急领导小组办公室主任：胡晓荣</w:t>
      </w:r>
    </w:p>
    <w:p>
      <w:pPr>
        <w:pStyle w:val="18"/>
        <w:pageBreakBefore w:val="0"/>
        <w:kinsoku/>
        <w:wordWrap/>
        <w:overflowPunct/>
        <w:topLinePunct w:val="0"/>
        <w:autoSpaceDE/>
        <w:autoSpaceDN/>
        <w:bidi w:val="0"/>
        <w:adjustRightInd/>
        <w:snapToGrid/>
        <w:spacing w:beforeAutospacing="0" w:afterAutospacing="0" w:line="560" w:lineRule="exact"/>
        <w:ind w:firstLine="480" w:firstLineChars="200"/>
        <w:textAlignment w:val="auto"/>
        <w:rPr>
          <w:rFonts w:hint="default" w:cs="Times New Roman" w:asciiTheme="minorEastAsia" w:hAnsiTheme="minorEastAsia" w:eastAsiaTheme="minorEastAsia"/>
          <w:bCs/>
          <w:color w:val="auto"/>
          <w:lang w:val="en-US" w:eastAsia="zh-CN"/>
        </w:rPr>
      </w:pPr>
      <w:r>
        <w:rPr>
          <w:rFonts w:hint="eastAsia" w:eastAsia="宋体" w:cs="Times New Roman" w:asciiTheme="minorEastAsia" w:hAnsiTheme="minorEastAsia"/>
          <w:bCs/>
          <w:color w:val="auto"/>
          <w:szCs w:val="21"/>
        </w:rPr>
        <w:t>应急领导小组职责：组织制定环境污染应急处理预案，统一安排、组织应急预案的实施。下达公司应急预案启动及关闭的命令，同时负责</w:t>
      </w:r>
      <w:r>
        <w:rPr>
          <w:rFonts w:hint="eastAsia" w:cs="Times New Roman" w:asciiTheme="minorEastAsia" w:hAnsiTheme="minorEastAsia"/>
          <w:bCs/>
          <w:color w:val="auto"/>
        </w:rPr>
        <w:t>事故抢险救援指挥工作，根据抢险救援需要合理配置人、财、物资源，积极组织抢险救援工作，防止事故扩大。核实遇险、遇难人员，汇报和通报事故有关情况，向上级救援机构发出救援请求。随时和事故现场指挥人员保持联系，发布救援指令。宣布现场抢险工作结束，制定恢复生产安全措施。做好稳定社会秩序、伤亡人员的善后和安抚工作。接受上级有关部门的指导，配合有关部门进行事故调查处理工作。</w:t>
      </w:r>
      <w:r>
        <w:rPr>
          <w:rFonts w:hint="eastAsia" w:cs="Times New Roman" w:asciiTheme="minorEastAsia" w:hAnsiTheme="minorEastAsia"/>
          <w:bCs/>
          <w:color w:val="auto"/>
          <w:lang w:val="en-US" w:eastAsia="zh-CN"/>
        </w:rPr>
        <w:t>应急组织机构如下：</w:t>
      </w:r>
    </w:p>
    <w:p>
      <w:pPr>
        <w:pStyle w:val="18"/>
        <w:pageBreakBefore w:val="0"/>
        <w:kinsoku/>
        <w:wordWrap/>
        <w:overflowPunct/>
        <w:topLinePunct w:val="0"/>
        <w:autoSpaceDE/>
        <w:autoSpaceDN/>
        <w:bidi w:val="0"/>
        <w:adjustRightInd/>
        <w:snapToGrid/>
        <w:spacing w:beforeAutospacing="0" w:afterAutospacing="0" w:line="560" w:lineRule="exact"/>
        <w:ind w:firstLine="480" w:firstLineChars="200"/>
        <w:textAlignment w:val="auto"/>
        <w:rPr>
          <w:rFonts w:hint="eastAsia" w:ascii="Times New Roman" w:hAnsi="Times New Roman" w:eastAsia="宋体" w:cs="Times New Roman"/>
          <w:bCs/>
          <w:color w:val="auto"/>
          <w:lang w:eastAsia="zh-CN"/>
        </w:rPr>
      </w:pPr>
      <w:r>
        <w:rPr>
          <w:rFonts w:hint="default" w:ascii="Times New Roman" w:hAnsi="Times New Roman" w:cs="Times New Roman"/>
          <w:bCs/>
          <w:color w:val="auto"/>
        </w:rPr>
        <w:t>公司应急组织机构见</w:t>
      </w:r>
      <w:r>
        <w:rPr>
          <w:rFonts w:hint="eastAsia" w:ascii="Times New Roman" w:hAnsi="Times New Roman" w:cs="Times New Roman"/>
          <w:bCs/>
          <w:color w:val="auto"/>
          <w:lang w:eastAsia="zh-CN"/>
        </w:rPr>
        <w:t>下图。</w:t>
      </w:r>
    </w:p>
    <w:p>
      <w:pPr>
        <w:pStyle w:val="18"/>
        <w:pageBreakBefore w:val="0"/>
        <w:kinsoku/>
        <w:wordWrap/>
        <w:overflowPunct/>
        <w:topLinePunct w:val="0"/>
        <w:autoSpaceDE/>
        <w:autoSpaceDN/>
        <w:bidi w:val="0"/>
        <w:adjustRightInd/>
        <w:snapToGrid/>
        <w:spacing w:beforeAutospacing="0" w:afterAutospacing="0" w:line="240" w:lineRule="auto"/>
        <w:textAlignment w:val="auto"/>
        <w:rPr>
          <w:rFonts w:hint="eastAsia" w:ascii="Times New Roman" w:hAnsi="Times New Roman" w:eastAsia="宋体" w:cs="Times New Roman"/>
          <w:bCs/>
          <w:color w:val="auto"/>
          <w:lang w:eastAsia="zh-CN"/>
        </w:rPr>
      </w:pPr>
      <w:r>
        <w:rPr>
          <w:rFonts w:hint="eastAsia" w:ascii="Times New Roman" w:hAnsi="Times New Roman" w:eastAsia="宋体" w:cs="Times New Roman"/>
          <w:bCs/>
          <w:color w:val="auto"/>
          <w:lang w:eastAsia="zh-CN"/>
        </w:rPr>
        <w:drawing>
          <wp:inline distT="0" distB="0" distL="114300" distR="114300">
            <wp:extent cx="5143500" cy="3686175"/>
            <wp:effectExtent l="0" t="0" r="0" b="9525"/>
            <wp:docPr id="9" name="图片 9" descr="QQ20241227-08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QQ20241227-085827"/>
                    <pic:cNvPicPr>
                      <a:picLocks noChangeAspect="1"/>
                    </pic:cNvPicPr>
                  </pic:nvPicPr>
                  <pic:blipFill>
                    <a:blip r:embed="rId36"/>
                    <a:stretch>
                      <a:fillRect/>
                    </a:stretch>
                  </pic:blipFill>
                  <pic:spPr>
                    <a:xfrm>
                      <a:off x="0" y="0"/>
                      <a:ext cx="5143500" cy="3686175"/>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560" w:lineRule="exact"/>
        <w:ind w:left="0" w:firstLine="482" w:firstLineChars="200"/>
        <w:textAlignment w:val="auto"/>
        <w:rPr>
          <w:b/>
          <w:color w:val="auto"/>
          <w:sz w:val="24"/>
        </w:rPr>
      </w:pPr>
      <w:r>
        <w:rPr>
          <w:b/>
          <w:color w:val="auto"/>
          <w:sz w:val="24"/>
        </w:rPr>
        <w:t>应急指挥办公室</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color w:val="auto"/>
          <w:sz w:val="24"/>
        </w:rPr>
      </w:pPr>
      <w:r>
        <w:rPr>
          <w:rFonts w:hint="eastAsia"/>
          <w:color w:val="auto"/>
          <w:sz w:val="24"/>
          <w:lang w:eastAsia="zh-CN"/>
        </w:rPr>
        <w:t>应急领导小组</w:t>
      </w:r>
      <w:r>
        <w:rPr>
          <w:color w:val="auto"/>
          <w:sz w:val="24"/>
        </w:rPr>
        <w:t>下设应急指挥办公室，为应急管理的常设办事机构，负责日常应急管理。办公室设在</w:t>
      </w:r>
      <w:r>
        <w:rPr>
          <w:rFonts w:hint="eastAsia"/>
          <w:color w:val="auto"/>
          <w:sz w:val="24"/>
          <w:lang w:val="en-US" w:eastAsia="zh-CN"/>
        </w:rPr>
        <w:t>设置在综合办</w:t>
      </w:r>
      <w:r>
        <w:rPr>
          <w:color w:val="auto"/>
          <w:sz w:val="24"/>
        </w:rPr>
        <w:t>。</w:t>
      </w:r>
    </w:p>
    <w:p>
      <w:pPr>
        <w:pageBreakBefore w:val="0"/>
        <w:widowControl w:val="0"/>
        <w:kinsoku/>
        <w:wordWrap/>
        <w:overflowPunct/>
        <w:topLinePunct w:val="0"/>
        <w:autoSpaceDE/>
        <w:autoSpaceDN/>
        <w:bidi w:val="0"/>
        <w:adjustRightInd/>
        <w:snapToGrid/>
        <w:spacing w:line="560" w:lineRule="exact"/>
        <w:ind w:left="0" w:firstLine="482" w:firstLineChars="200"/>
        <w:textAlignment w:val="auto"/>
        <w:rPr>
          <w:b/>
          <w:bCs/>
          <w:color w:val="auto"/>
          <w:sz w:val="24"/>
        </w:rPr>
      </w:pPr>
      <w:r>
        <w:rPr>
          <w:b/>
          <w:bCs/>
          <w:color w:val="auto"/>
          <w:sz w:val="24"/>
        </w:rPr>
        <w:t>注：以上指挥部体系在正职不在时，组员接替工作，保证应急体系正常运行。</w:t>
      </w:r>
    </w:p>
    <w:bookmarkEnd w:id="253"/>
    <w:bookmarkEnd w:id="254"/>
    <w:bookmarkEnd w:id="255"/>
    <w:bookmarkEnd w:id="256"/>
    <w:bookmarkEnd w:id="257"/>
    <w:bookmarkEnd w:id="258"/>
    <w:bookmarkEnd w:id="259"/>
    <w:p>
      <w:pPr>
        <w:pStyle w:val="4"/>
        <w:bidi w:val="0"/>
        <w:rPr>
          <w:rFonts w:hint="default"/>
        </w:rPr>
      </w:pPr>
      <w:bookmarkStart w:id="260" w:name="_Toc4235"/>
      <w:bookmarkStart w:id="261" w:name="_Toc13538"/>
      <w:bookmarkStart w:id="262" w:name="_Toc21392"/>
      <w:bookmarkStart w:id="263" w:name="_Toc13142"/>
      <w:bookmarkStart w:id="264" w:name="_Toc8492"/>
      <w:r>
        <w:rPr>
          <w:rFonts w:hint="eastAsia"/>
          <w:lang w:val="en-US" w:eastAsia="zh-CN"/>
        </w:rPr>
        <w:t>4</w:t>
      </w:r>
      <w:r>
        <w:rPr>
          <w:rFonts w:hint="default"/>
        </w:rPr>
        <w:t>.2人员构成及职责</w:t>
      </w:r>
      <w:bookmarkEnd w:id="260"/>
      <w:bookmarkEnd w:id="261"/>
      <w:bookmarkEnd w:id="262"/>
      <w:bookmarkEnd w:id="263"/>
      <w:bookmarkEnd w:id="264"/>
    </w:p>
    <w:p>
      <w:pPr>
        <w:pStyle w:val="5"/>
        <w:bidi w:val="0"/>
        <w:rPr>
          <w:rFonts w:hint="default" w:ascii="Times New Roman" w:hAnsi="Times New Roman" w:eastAsia="宋体" w:cs="Times New Roman"/>
          <w:color w:val="auto"/>
          <w:sz w:val="24"/>
          <w:szCs w:val="24"/>
        </w:rPr>
      </w:pPr>
      <w:bookmarkStart w:id="265" w:name="_Toc7492"/>
      <w:bookmarkStart w:id="266" w:name="_Toc10526"/>
      <w:bookmarkStart w:id="267" w:name="_Toc32753"/>
      <w:bookmarkStart w:id="268" w:name="_Toc1627"/>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rPr>
        <w:t>.2.1</w:t>
      </w:r>
      <w:r>
        <w:rPr>
          <w:rFonts w:hint="eastAsia" w:ascii="Times New Roman" w:hAnsi="Times New Roman" w:eastAsia="宋体" w:cs="Times New Roman"/>
          <w:color w:val="auto"/>
          <w:sz w:val="24"/>
          <w:szCs w:val="24"/>
          <w:lang w:val="en-US" w:eastAsia="zh-CN"/>
        </w:rPr>
        <w:t>应急领导小组</w:t>
      </w:r>
      <w:r>
        <w:rPr>
          <w:rFonts w:hint="default" w:ascii="Times New Roman" w:hAnsi="Times New Roman" w:eastAsia="宋体" w:cs="Times New Roman"/>
          <w:color w:val="auto"/>
          <w:sz w:val="24"/>
          <w:szCs w:val="24"/>
        </w:rPr>
        <w:t>职责</w:t>
      </w:r>
      <w:bookmarkEnd w:id="265"/>
      <w:bookmarkEnd w:id="266"/>
      <w:bookmarkEnd w:id="267"/>
      <w:bookmarkEnd w:id="268"/>
    </w:p>
    <w:p>
      <w:pPr>
        <w:pageBreakBefore w:val="0"/>
        <w:widowControl w:val="0"/>
        <w:kinsoku/>
        <w:wordWrap/>
        <w:overflowPunct/>
        <w:topLinePunct w:val="0"/>
        <w:autoSpaceDE/>
        <w:autoSpaceDN/>
        <w:bidi w:val="0"/>
        <w:adjustRightInd/>
        <w:snapToGrid/>
        <w:spacing w:line="560" w:lineRule="exact"/>
        <w:ind w:left="0" w:leftChars="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（1）研究制定、修订本公司应对突发环境事件的政策措施和指导意见。</w:t>
      </w:r>
    </w:p>
    <w:p>
      <w:pPr>
        <w:pageBreakBefore w:val="0"/>
        <w:widowControl w:val="0"/>
        <w:kinsoku/>
        <w:wordWrap/>
        <w:overflowPunct/>
        <w:topLinePunct w:val="0"/>
        <w:autoSpaceDE/>
        <w:autoSpaceDN/>
        <w:bidi w:val="0"/>
        <w:adjustRightInd/>
        <w:snapToGrid/>
        <w:spacing w:line="560" w:lineRule="exact"/>
        <w:ind w:left="0" w:leftChars="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（2）负责指挥突发环境事件的具体处理工作。</w:t>
      </w:r>
    </w:p>
    <w:p>
      <w:pPr>
        <w:pageBreakBefore w:val="0"/>
        <w:widowControl w:val="0"/>
        <w:kinsoku/>
        <w:wordWrap/>
        <w:overflowPunct/>
        <w:topLinePunct w:val="0"/>
        <w:autoSpaceDE/>
        <w:autoSpaceDN/>
        <w:bidi w:val="0"/>
        <w:adjustRightInd/>
        <w:snapToGrid/>
        <w:spacing w:line="560" w:lineRule="exact"/>
        <w:ind w:left="0" w:leftChars="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（3）分析总结本公司突发环境事件突发事故应对工作，制定工作规划和年度工作计划。</w:t>
      </w:r>
    </w:p>
    <w:p>
      <w:pPr>
        <w:pageBreakBefore w:val="0"/>
        <w:widowControl w:val="0"/>
        <w:kinsoku/>
        <w:wordWrap/>
        <w:overflowPunct/>
        <w:topLinePunct w:val="0"/>
        <w:autoSpaceDE/>
        <w:autoSpaceDN/>
        <w:bidi w:val="0"/>
        <w:adjustRightInd/>
        <w:snapToGrid/>
        <w:spacing w:line="560" w:lineRule="exact"/>
        <w:ind w:left="0" w:leftChars="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（4）负责本指挥部所属应急抢险救援队伍的建设管理和指挥。</w:t>
      </w:r>
    </w:p>
    <w:p>
      <w:pPr>
        <w:pageBreakBefore w:val="0"/>
        <w:widowControl w:val="0"/>
        <w:kinsoku/>
        <w:wordWrap/>
        <w:overflowPunct/>
        <w:topLinePunct w:val="0"/>
        <w:autoSpaceDE/>
        <w:autoSpaceDN/>
        <w:bidi w:val="0"/>
        <w:adjustRightInd/>
        <w:snapToGrid/>
        <w:spacing w:line="560" w:lineRule="exact"/>
        <w:ind w:left="0" w:leftChars="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（5）承办上级应急组织交办的其他事项。</w:t>
      </w:r>
    </w:p>
    <w:p>
      <w:pPr>
        <w:pStyle w:val="5"/>
        <w:keepNext/>
        <w:keepLines/>
        <w:pageBreakBefore w:val="0"/>
        <w:widowControl w:val="0"/>
        <w:kinsoku/>
        <w:wordWrap/>
        <w:overflowPunct/>
        <w:topLinePunct w:val="0"/>
        <w:autoSpaceDE/>
        <w:autoSpaceDN/>
        <w:bidi w:val="0"/>
        <w:adjustRightInd/>
        <w:snapToGrid/>
        <w:spacing w:before="0" w:after="0" w:line="560" w:lineRule="exact"/>
        <w:jc w:val="left"/>
        <w:textAlignment w:val="auto"/>
        <w:rPr>
          <w:rFonts w:hint="default" w:ascii="Times New Roman" w:hAnsi="Times New Roman" w:eastAsia="宋体" w:cs="Times New Roman"/>
          <w:b/>
          <w:bCs/>
          <w:color w:val="auto"/>
          <w:sz w:val="24"/>
          <w:szCs w:val="24"/>
        </w:rPr>
      </w:pPr>
      <w:bookmarkStart w:id="269" w:name="_Toc27659"/>
      <w:bookmarkStart w:id="270" w:name="_Toc22818"/>
      <w:bookmarkStart w:id="271" w:name="_Toc21959"/>
      <w:bookmarkStart w:id="272" w:name="_Toc26054"/>
      <w:r>
        <w:rPr>
          <w:rFonts w:hint="eastAsia" w:cs="Times New Roman"/>
          <w:b/>
          <w:bCs/>
          <w:color w:val="auto"/>
          <w:sz w:val="24"/>
          <w:szCs w:val="24"/>
          <w:lang w:val="en-US" w:eastAsia="zh-CN"/>
        </w:rPr>
        <w:t>4</w:t>
      </w:r>
      <w:r>
        <w:rPr>
          <w:rFonts w:hint="default" w:ascii="Times New Roman" w:hAnsi="Times New Roman" w:eastAsia="宋体" w:cs="Times New Roman"/>
          <w:b/>
          <w:bCs/>
          <w:color w:val="auto"/>
          <w:sz w:val="24"/>
          <w:szCs w:val="24"/>
        </w:rPr>
        <w:t>.2.2</w:t>
      </w:r>
      <w:r>
        <w:rPr>
          <w:rFonts w:hint="eastAsia" w:ascii="Times New Roman" w:hAnsi="Times New Roman" w:eastAsia="宋体" w:cs="Times New Roman"/>
          <w:b/>
          <w:bCs/>
          <w:color w:val="auto"/>
          <w:sz w:val="24"/>
          <w:szCs w:val="24"/>
          <w:lang w:val="en-US" w:eastAsia="zh-CN"/>
        </w:rPr>
        <w:t>应急领导小组组长</w:t>
      </w:r>
      <w:r>
        <w:rPr>
          <w:rFonts w:hint="default" w:ascii="Times New Roman" w:hAnsi="Times New Roman" w:eastAsia="宋体" w:cs="Times New Roman"/>
          <w:b/>
          <w:bCs/>
          <w:color w:val="auto"/>
          <w:sz w:val="24"/>
          <w:szCs w:val="24"/>
        </w:rPr>
        <w:t>职责</w:t>
      </w:r>
      <w:bookmarkEnd w:id="269"/>
      <w:bookmarkEnd w:id="270"/>
      <w:bookmarkEnd w:id="271"/>
      <w:bookmarkEnd w:id="272"/>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（1）分析紧急状态确定相应报警级别，根据相关危险类型、潜在后果、现有资源确定紧急情况的行动类型。</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（2）指挥、协调应急反应行动。</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（3）与企业外应急反应人员、部门、组织和机构进行联络。</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（4）直接监督应急操作人员行动。</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（5）最大限度地保证现场人员、外援人员和相关人员的安全。</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（6）协调后勤方面支援应急反应组织。</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（7）应急预案的启动。</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（8）应急评估、确定升高或降低应急警报级别。</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（9）通报外部机构，决定是否请求外部援助。</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（10）决定应急撤离，决定事故现场外影响区域的安全性。</w:t>
      </w:r>
    </w:p>
    <w:p>
      <w:pPr>
        <w:pStyle w:val="5"/>
        <w:keepNext/>
        <w:keepLines/>
        <w:pageBreakBefore w:val="0"/>
        <w:widowControl w:val="0"/>
        <w:kinsoku/>
        <w:wordWrap/>
        <w:overflowPunct/>
        <w:topLinePunct w:val="0"/>
        <w:autoSpaceDE/>
        <w:autoSpaceDN/>
        <w:bidi w:val="0"/>
        <w:adjustRightInd/>
        <w:snapToGrid/>
        <w:spacing w:before="0" w:after="0" w:line="560" w:lineRule="exact"/>
        <w:jc w:val="left"/>
        <w:textAlignment w:val="auto"/>
        <w:rPr>
          <w:rFonts w:hint="default" w:ascii="Times New Roman" w:hAnsi="Times New Roman" w:eastAsia="宋体" w:cs="Times New Roman"/>
          <w:b/>
          <w:bCs/>
          <w:color w:val="auto"/>
          <w:sz w:val="24"/>
          <w:szCs w:val="24"/>
        </w:rPr>
      </w:pPr>
      <w:bookmarkStart w:id="273" w:name="_Toc12522"/>
      <w:bookmarkStart w:id="274" w:name="_Toc25092"/>
      <w:bookmarkStart w:id="275" w:name="_Toc10173"/>
      <w:bookmarkStart w:id="276" w:name="_Toc21237"/>
      <w:r>
        <w:rPr>
          <w:rFonts w:hint="eastAsia" w:cs="Times New Roman"/>
          <w:b/>
          <w:bCs/>
          <w:color w:val="auto"/>
          <w:sz w:val="24"/>
          <w:szCs w:val="24"/>
          <w:lang w:val="en-US" w:eastAsia="zh-CN"/>
        </w:rPr>
        <w:t>4</w:t>
      </w:r>
      <w:r>
        <w:rPr>
          <w:rFonts w:hint="default" w:ascii="Times New Roman" w:hAnsi="Times New Roman" w:eastAsia="宋体" w:cs="Times New Roman"/>
          <w:b/>
          <w:bCs/>
          <w:color w:val="auto"/>
          <w:sz w:val="24"/>
          <w:szCs w:val="24"/>
        </w:rPr>
        <w:t>.2.3</w:t>
      </w:r>
      <w:r>
        <w:rPr>
          <w:rFonts w:hint="eastAsia" w:ascii="Times New Roman" w:hAnsi="Times New Roman" w:eastAsia="宋体" w:cs="Times New Roman"/>
          <w:b/>
          <w:bCs/>
          <w:color w:val="auto"/>
          <w:sz w:val="24"/>
          <w:szCs w:val="24"/>
          <w:lang w:val="en-US" w:eastAsia="zh-CN"/>
        </w:rPr>
        <w:t>应急领导小组副组长</w:t>
      </w:r>
      <w:r>
        <w:rPr>
          <w:rFonts w:hint="default" w:ascii="Times New Roman" w:hAnsi="Times New Roman" w:eastAsia="宋体" w:cs="Times New Roman"/>
          <w:b/>
          <w:bCs/>
          <w:color w:val="auto"/>
          <w:sz w:val="24"/>
          <w:szCs w:val="24"/>
        </w:rPr>
        <w:t>职责</w:t>
      </w:r>
      <w:bookmarkEnd w:id="273"/>
      <w:bookmarkEnd w:id="274"/>
      <w:bookmarkEnd w:id="275"/>
      <w:bookmarkEnd w:id="276"/>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（1）协助应急总指挥组织和指挥应急操作任务。</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（2）向应急总指挥提出采取减缓事故后果行动的应急反应对策和建议。</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（3）保持与事故现场其他副总指挥的直接联络，在总指挥不在公司时履行总指挥职责。</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（4）协调、组织和获取应急所需的其它资源、设备以支援现场的应急操作。</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（5）组织公司各部门对厂区生产过程各危险源进行风险评估。</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（6）定期检查各应急反应组织和部门的日常工作和应急反应准备状态。</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（7）根据本公司的实际条件，努力与周边有条件的企业建立共同应急救援网络并签订应急救援协议，以便在事故应急处理中共享资源、相互帮助。</w:t>
      </w:r>
    </w:p>
    <w:p>
      <w:pPr>
        <w:pStyle w:val="5"/>
        <w:pageBreakBefore w:val="0"/>
        <w:widowControl w:val="0"/>
        <w:kinsoku/>
        <w:wordWrap/>
        <w:overflowPunct/>
        <w:topLinePunct w:val="0"/>
        <w:autoSpaceDE/>
        <w:autoSpaceDN/>
        <w:bidi w:val="0"/>
        <w:adjustRightInd/>
        <w:snapToGrid/>
        <w:spacing w:before="0" w:after="0" w:line="560" w:lineRule="exact"/>
        <w:textAlignment w:val="auto"/>
        <w:rPr>
          <w:rFonts w:hint="default" w:ascii="Times New Roman" w:hAnsi="Times New Roman" w:eastAsia="宋体" w:cs="Times New Roman"/>
          <w:color w:val="auto"/>
          <w:sz w:val="24"/>
          <w:szCs w:val="24"/>
        </w:rPr>
      </w:pPr>
      <w:bookmarkStart w:id="277" w:name="_Toc998"/>
      <w:bookmarkStart w:id="278" w:name="_Toc19063"/>
      <w:bookmarkStart w:id="279" w:name="_Toc5188"/>
      <w:bookmarkStart w:id="280" w:name="_Toc4593"/>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rPr>
        <w:t>.2.4应急指挥办公室人员组成及职责</w:t>
      </w:r>
      <w:bookmarkEnd w:id="277"/>
      <w:bookmarkEnd w:id="278"/>
      <w:bookmarkEnd w:id="279"/>
      <w:bookmarkEnd w:id="280"/>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eastAsia" w:ascii="Times New Roman" w:hAnsi="Times New Roman" w:eastAsia="宋体" w:cs="Times New Roman"/>
          <w:sz w:val="24"/>
          <w:lang w:eastAsia="zh-CN"/>
        </w:rPr>
        <w:t>应急领导小组</w:t>
      </w:r>
      <w:r>
        <w:rPr>
          <w:rFonts w:hint="default" w:ascii="Times New Roman" w:hAnsi="Times New Roman" w:eastAsia="宋体" w:cs="Times New Roman"/>
          <w:sz w:val="24"/>
        </w:rPr>
        <w:t>下设应急指挥办公室，为应急管理的常设办事机构，负责日常应急管理。办公室设在生产管理部。</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职责：（1）设专人24小时值班；</w:t>
      </w:r>
    </w:p>
    <w:p>
      <w:pPr>
        <w:pageBreakBefore w:val="0"/>
        <w:widowControl w:val="0"/>
        <w:kinsoku/>
        <w:wordWrap/>
        <w:overflowPunct/>
        <w:topLinePunct w:val="0"/>
        <w:autoSpaceDE/>
        <w:autoSpaceDN/>
        <w:bidi w:val="0"/>
        <w:adjustRightInd/>
        <w:snapToGrid/>
        <w:spacing w:line="560" w:lineRule="exact"/>
        <w:ind w:left="0"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 xml:space="preserve">      （2）接到事故报警后，及时向</w:t>
      </w:r>
      <w:r>
        <w:rPr>
          <w:rFonts w:hint="eastAsia" w:ascii="Times New Roman" w:hAnsi="Times New Roman" w:eastAsia="宋体" w:cs="Times New Roman"/>
          <w:sz w:val="24"/>
          <w:lang w:eastAsia="zh-CN"/>
        </w:rPr>
        <w:t>应急领导小组</w:t>
      </w:r>
      <w:r>
        <w:rPr>
          <w:rFonts w:hint="default" w:ascii="Times New Roman" w:hAnsi="Times New Roman" w:eastAsia="宋体" w:cs="Times New Roman"/>
          <w:sz w:val="24"/>
        </w:rPr>
        <w:t>总指挥、副总指挥报告；</w:t>
      </w:r>
    </w:p>
    <w:p>
      <w:pPr>
        <w:pageBreakBefore w:val="0"/>
        <w:widowControl w:val="0"/>
        <w:kinsoku/>
        <w:wordWrap/>
        <w:overflowPunct/>
        <w:topLinePunct w:val="0"/>
        <w:autoSpaceDE/>
        <w:autoSpaceDN/>
        <w:bidi w:val="0"/>
        <w:adjustRightInd/>
        <w:snapToGrid/>
        <w:spacing w:line="560" w:lineRule="exact"/>
        <w:ind w:left="0" w:firstLine="1200" w:firstLineChars="500"/>
        <w:textAlignment w:val="auto"/>
        <w:rPr>
          <w:rFonts w:hint="default" w:ascii="Times New Roman" w:hAnsi="Times New Roman" w:eastAsia="宋体" w:cs="Times New Roman"/>
          <w:sz w:val="24"/>
        </w:rPr>
      </w:pPr>
      <w:r>
        <w:rPr>
          <w:rFonts w:hint="default" w:ascii="Times New Roman" w:hAnsi="Times New Roman" w:eastAsia="宋体" w:cs="Times New Roman"/>
          <w:sz w:val="24"/>
        </w:rPr>
        <w:t>（3）事故发生时，负责判断并启动相应的应急处置方案。</w:t>
      </w:r>
    </w:p>
    <w:p>
      <w:pPr>
        <w:pStyle w:val="5"/>
        <w:pageBreakBefore w:val="0"/>
        <w:widowControl w:val="0"/>
        <w:kinsoku/>
        <w:wordWrap/>
        <w:overflowPunct/>
        <w:topLinePunct w:val="0"/>
        <w:autoSpaceDE/>
        <w:autoSpaceDN/>
        <w:bidi w:val="0"/>
        <w:adjustRightInd/>
        <w:snapToGrid/>
        <w:spacing w:before="0" w:after="0" w:line="560" w:lineRule="exact"/>
        <w:textAlignment w:val="auto"/>
        <w:rPr>
          <w:rFonts w:hint="default" w:ascii="Times New Roman" w:hAnsi="Times New Roman" w:eastAsia="宋体" w:cs="Times New Roman"/>
          <w:color w:val="auto"/>
          <w:sz w:val="24"/>
          <w:szCs w:val="24"/>
        </w:rPr>
      </w:pPr>
      <w:bookmarkStart w:id="281" w:name="_Toc11189"/>
      <w:bookmarkStart w:id="282" w:name="_Toc31303"/>
      <w:bookmarkStart w:id="283" w:name="_Toc29746"/>
      <w:bookmarkStart w:id="284" w:name="_Toc25204"/>
      <w:r>
        <w:rPr>
          <w:rFonts w:hint="eastAsia" w:cs="Times New Roman"/>
          <w:color w:val="auto"/>
          <w:sz w:val="24"/>
          <w:szCs w:val="24"/>
          <w:lang w:val="en-US" w:eastAsia="zh-CN"/>
        </w:rPr>
        <w:t>4</w:t>
      </w:r>
      <w:r>
        <w:rPr>
          <w:rFonts w:hint="default" w:ascii="Times New Roman" w:hAnsi="Times New Roman" w:eastAsia="宋体" w:cs="Times New Roman"/>
          <w:color w:val="auto"/>
          <w:sz w:val="24"/>
          <w:szCs w:val="24"/>
        </w:rPr>
        <w:t>.2.5应急救援小组人员组成及职责</w:t>
      </w:r>
      <w:bookmarkEnd w:id="281"/>
      <w:bookmarkEnd w:id="282"/>
      <w:bookmarkEnd w:id="283"/>
      <w:bookmarkEnd w:id="284"/>
    </w:p>
    <w:p>
      <w:pPr>
        <w:pageBreakBefore w:val="0"/>
        <w:widowControl w:val="0"/>
        <w:kinsoku/>
        <w:wordWrap/>
        <w:overflowPunct/>
        <w:topLinePunct w:val="0"/>
        <w:autoSpaceDE/>
        <w:autoSpaceDN/>
        <w:bidi w:val="0"/>
        <w:adjustRightInd/>
        <w:snapToGrid/>
        <w:spacing w:line="560" w:lineRule="exact"/>
        <w:ind w:left="0" w:leftChars="0" w:firstLine="480" w:firstLineChars="200"/>
        <w:textAlignment w:val="auto"/>
        <w:rPr>
          <w:rFonts w:hint="default" w:ascii="Times New Roman" w:hAnsi="Times New Roman" w:eastAsia="宋体" w:cs="Times New Roman"/>
          <w:color w:val="000000"/>
          <w:sz w:val="24"/>
        </w:rPr>
      </w:pPr>
      <w:r>
        <w:rPr>
          <w:rFonts w:hint="default" w:ascii="Times New Roman" w:hAnsi="Times New Roman" w:eastAsia="宋体" w:cs="Times New Roman"/>
          <w:color w:val="000000"/>
          <w:sz w:val="24"/>
        </w:rPr>
        <w:t>听从指挥、服从安排、快速反应、全力做好事故现场抢救、安全保卫、医疗救护、善后处理、事故调查、后勤保障、危险源风险评估、技术支持等应急工作。</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cs="Times New Roman" w:asciiTheme="minorEastAsia" w:hAnsiTheme="minorEastAsia"/>
          <w:sz w:val="24"/>
          <w:lang w:eastAsia="zh-CN"/>
        </w:rPr>
        <w:t>（</w:t>
      </w:r>
      <w:r>
        <w:rPr>
          <w:rFonts w:hint="eastAsia" w:cs="Times New Roman" w:asciiTheme="minorEastAsia" w:hAnsiTheme="minorEastAsia"/>
          <w:sz w:val="24"/>
          <w:lang w:val="en-US" w:eastAsia="zh-CN"/>
        </w:rPr>
        <w:t>1</w:t>
      </w:r>
      <w:r>
        <w:rPr>
          <w:rFonts w:hint="eastAsia" w:cs="Times New Roman" w:asciiTheme="minorEastAsia" w:hAnsiTheme="minorEastAsia"/>
          <w:sz w:val="24"/>
          <w:lang w:eastAsia="zh-CN"/>
        </w:rPr>
        <w:t>）</w:t>
      </w:r>
      <w:r>
        <w:rPr>
          <w:rFonts w:hint="eastAsia" w:cs="Times New Roman" w:asciiTheme="minorEastAsia" w:hAnsiTheme="minorEastAsia"/>
          <w:sz w:val="24"/>
        </w:rPr>
        <w:t>环保监测组：</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hint="eastAsia" w:eastAsia="宋体" w:cs="Times New Roman" w:asciiTheme="minorEastAsia" w:hAnsiTheme="minorEastAsia"/>
          <w:sz w:val="24"/>
        </w:rPr>
      </w:pPr>
      <w:r>
        <w:rPr>
          <w:rFonts w:hint="eastAsia" w:eastAsia="宋体" w:cs="Times New Roman" w:asciiTheme="minorEastAsia" w:hAnsiTheme="minorEastAsia"/>
          <w:sz w:val="24"/>
          <w:lang w:eastAsia="zh-CN"/>
        </w:rPr>
        <w:t>①</w:t>
      </w:r>
      <w:r>
        <w:rPr>
          <w:rFonts w:hint="eastAsia" w:eastAsia="宋体" w:cs="Times New Roman" w:asciiTheme="minorEastAsia" w:hAnsiTheme="minorEastAsia"/>
          <w:sz w:val="24"/>
        </w:rPr>
        <w:t>组长：孙显德</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eastAsia="宋体" w:cs="Times New Roman" w:asciiTheme="minorEastAsia" w:hAnsiTheme="minorEastAsia"/>
          <w:sz w:val="24"/>
          <w:lang w:eastAsia="zh-CN"/>
        </w:rPr>
        <w:t>②</w:t>
      </w:r>
      <w:r>
        <w:rPr>
          <w:rFonts w:hint="eastAsia" w:eastAsia="宋体" w:cs="Times New Roman" w:asciiTheme="minorEastAsia" w:hAnsiTheme="minorEastAsia"/>
          <w:sz w:val="24"/>
        </w:rPr>
        <w:t>职责：负责建立健全环境监</w:t>
      </w:r>
      <w:r>
        <w:rPr>
          <w:rFonts w:hint="eastAsia" w:cs="Times New Roman" w:asciiTheme="minorEastAsia" w:hAnsiTheme="minorEastAsia"/>
          <w:sz w:val="24"/>
        </w:rPr>
        <w:t>测的各种规章制度及技术资料、数据建档、存档制度，并监督与管理环境监测工作。并按规定的报表格式定期向环境保护部门填报报表。</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cs="Times New Roman" w:asciiTheme="minorEastAsia" w:hAnsiTheme="minorEastAsia"/>
          <w:sz w:val="24"/>
          <w:lang w:eastAsia="zh-CN"/>
        </w:rPr>
        <w:t>（</w:t>
      </w:r>
      <w:r>
        <w:rPr>
          <w:rFonts w:hint="eastAsia" w:cs="Times New Roman" w:asciiTheme="minorEastAsia" w:hAnsiTheme="minorEastAsia"/>
          <w:sz w:val="24"/>
          <w:lang w:val="en-US" w:eastAsia="zh-CN"/>
        </w:rPr>
        <w:t>2</w:t>
      </w:r>
      <w:r>
        <w:rPr>
          <w:rFonts w:hint="eastAsia" w:cs="Times New Roman" w:asciiTheme="minorEastAsia" w:hAnsiTheme="minorEastAsia"/>
          <w:sz w:val="24"/>
          <w:lang w:eastAsia="zh-CN"/>
        </w:rPr>
        <w:t>）</w:t>
      </w:r>
      <w:r>
        <w:rPr>
          <w:rFonts w:hint="eastAsia" w:cs="Times New Roman" w:asciiTheme="minorEastAsia" w:hAnsiTheme="minorEastAsia"/>
          <w:sz w:val="24"/>
        </w:rPr>
        <w:t>应急信息组</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hint="default" w:eastAsia="宋体" w:cs="Times New Roman" w:asciiTheme="minorEastAsia" w:hAnsiTheme="minorEastAsia"/>
          <w:sz w:val="24"/>
          <w:lang w:val="en-US" w:eastAsia="zh-CN"/>
        </w:rPr>
      </w:pPr>
      <w:r>
        <w:rPr>
          <w:rFonts w:hint="eastAsia" w:cs="Times New Roman" w:asciiTheme="minorEastAsia" w:hAnsiTheme="minorEastAsia"/>
          <w:sz w:val="24"/>
          <w:lang w:eastAsia="zh-CN"/>
        </w:rPr>
        <w:t>①</w:t>
      </w:r>
      <w:r>
        <w:rPr>
          <w:rFonts w:hint="eastAsia" w:cs="Times New Roman" w:asciiTheme="minorEastAsia" w:hAnsiTheme="minorEastAsia"/>
          <w:sz w:val="24"/>
        </w:rPr>
        <w:t>组长</w:t>
      </w:r>
      <w:r>
        <w:rPr>
          <w:rFonts w:hint="eastAsia" w:eastAsia="宋体" w:cs="Times New Roman" w:asciiTheme="minorEastAsia" w:hAnsiTheme="minorEastAsia"/>
          <w:sz w:val="24"/>
        </w:rPr>
        <w:t>：</w:t>
      </w:r>
      <w:r>
        <w:rPr>
          <w:rFonts w:hint="eastAsia" w:cs="Times New Roman" w:asciiTheme="minorEastAsia" w:hAnsiTheme="minorEastAsia"/>
          <w:sz w:val="24"/>
          <w:lang w:val="en-US" w:eastAsia="zh-CN"/>
        </w:rPr>
        <w:t>杨立文</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eastAsia="宋体" w:cs="Times New Roman" w:asciiTheme="minorEastAsia" w:hAnsiTheme="minorEastAsia"/>
          <w:sz w:val="24"/>
          <w:lang w:eastAsia="zh-CN"/>
        </w:rPr>
        <w:t>②</w:t>
      </w:r>
      <w:r>
        <w:rPr>
          <w:rFonts w:hint="eastAsia" w:eastAsia="宋体" w:cs="Times New Roman" w:asciiTheme="minorEastAsia" w:hAnsiTheme="minorEastAsia"/>
          <w:sz w:val="24"/>
        </w:rPr>
        <w:t>职责：在应急状态下草拟</w:t>
      </w:r>
      <w:r>
        <w:rPr>
          <w:rFonts w:hint="eastAsia" w:cs="Times New Roman" w:asciiTheme="minorEastAsia" w:hAnsiTheme="minorEastAsia"/>
          <w:sz w:val="24"/>
        </w:rPr>
        <w:t>新闻或公告，在突发事件处置会议后一小时内完成对外公布的新闻稿件，报应急领导小组组长审批；根据授权，与呼和浩特市委宣传部、呼和浩特市主要媒体和公司周边单位宣传部门保持联系与沟通，正确引导公众舆论；收集、跟踪舆论信息及时反馈；根据授权在内部网络上发布消息，告知员工突发事件情况，保持沟通联系；负责突发事件应急有线电话和网络的维护。</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cs="Times New Roman" w:asciiTheme="minorEastAsia" w:hAnsiTheme="minorEastAsia"/>
          <w:sz w:val="24"/>
          <w:lang w:eastAsia="zh-CN"/>
        </w:rPr>
        <w:t>（</w:t>
      </w:r>
      <w:r>
        <w:rPr>
          <w:rFonts w:hint="eastAsia" w:cs="Times New Roman" w:asciiTheme="minorEastAsia" w:hAnsiTheme="minorEastAsia"/>
          <w:sz w:val="24"/>
          <w:lang w:val="en-US" w:eastAsia="zh-CN"/>
        </w:rPr>
        <w:t>3</w:t>
      </w:r>
      <w:r>
        <w:rPr>
          <w:rFonts w:hint="eastAsia" w:cs="Times New Roman" w:asciiTheme="minorEastAsia" w:hAnsiTheme="minorEastAsia"/>
          <w:sz w:val="24"/>
          <w:lang w:eastAsia="zh-CN"/>
        </w:rPr>
        <w:t>）</w:t>
      </w:r>
      <w:r>
        <w:rPr>
          <w:rFonts w:hint="eastAsia" w:cs="Times New Roman" w:asciiTheme="minorEastAsia" w:hAnsiTheme="minorEastAsia"/>
          <w:sz w:val="24"/>
        </w:rPr>
        <w:t>消防保卫组</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cs="Times New Roman" w:asciiTheme="minorEastAsia" w:hAnsiTheme="minorEastAsia"/>
          <w:sz w:val="24"/>
          <w:lang w:eastAsia="zh-CN"/>
        </w:rPr>
        <w:t>①</w:t>
      </w:r>
      <w:r>
        <w:rPr>
          <w:rFonts w:hint="eastAsia" w:eastAsia="宋体" w:cs="Times New Roman" w:asciiTheme="minorEastAsia" w:hAnsiTheme="minorEastAsia"/>
          <w:sz w:val="24"/>
        </w:rPr>
        <w:t>组长：</w:t>
      </w:r>
      <w:r>
        <w:rPr>
          <w:rFonts w:hint="eastAsia" w:eastAsia="宋体" w:cs="Times New Roman" w:asciiTheme="minorEastAsia" w:hAnsiTheme="minorEastAsia"/>
          <w:sz w:val="24"/>
          <w:lang w:val="en-US" w:eastAsia="zh-CN"/>
        </w:rPr>
        <w:t>胡晓彬</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cs="Times New Roman" w:asciiTheme="minorEastAsia" w:hAnsiTheme="minorEastAsia"/>
          <w:sz w:val="24"/>
          <w:lang w:eastAsia="zh-CN"/>
        </w:rPr>
        <w:t>②</w:t>
      </w:r>
      <w:r>
        <w:rPr>
          <w:rFonts w:hint="eastAsia" w:cs="Times New Roman" w:asciiTheme="minorEastAsia" w:hAnsiTheme="minorEastAsia"/>
          <w:sz w:val="24"/>
        </w:rPr>
        <w:t>职责：负责突发事件消防、气防处置，应急救援及监护；负责突发事件应急秩序维护、交通疏导、安全保卫等。</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hint="eastAsia" w:eastAsia="宋体" w:cs="Times New Roman" w:asciiTheme="minorEastAsia" w:hAnsiTheme="minorEastAsia"/>
          <w:sz w:val="24"/>
        </w:rPr>
      </w:pPr>
      <w:r>
        <w:rPr>
          <w:rFonts w:hint="eastAsia" w:cs="Times New Roman" w:asciiTheme="minorEastAsia" w:hAnsiTheme="minorEastAsia"/>
          <w:sz w:val="24"/>
          <w:lang w:eastAsia="zh-CN"/>
        </w:rPr>
        <w:t>（</w:t>
      </w:r>
      <w:r>
        <w:rPr>
          <w:rFonts w:hint="eastAsia" w:cs="Times New Roman" w:asciiTheme="minorEastAsia" w:hAnsiTheme="minorEastAsia"/>
          <w:sz w:val="24"/>
          <w:lang w:val="en-US" w:eastAsia="zh-CN"/>
        </w:rPr>
        <w:t>4</w:t>
      </w:r>
      <w:r>
        <w:rPr>
          <w:rFonts w:hint="eastAsia" w:cs="Times New Roman" w:asciiTheme="minorEastAsia" w:hAnsiTheme="minorEastAsia"/>
          <w:sz w:val="24"/>
          <w:lang w:eastAsia="zh-CN"/>
        </w:rPr>
        <w:t>）</w:t>
      </w:r>
      <w:r>
        <w:rPr>
          <w:rFonts w:hint="eastAsia" w:eastAsia="宋体" w:cs="Times New Roman" w:asciiTheme="minorEastAsia" w:hAnsiTheme="minorEastAsia"/>
          <w:sz w:val="24"/>
        </w:rPr>
        <w:t>设备抢险组：</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hint="eastAsia" w:eastAsia="宋体" w:cs="Times New Roman" w:asciiTheme="minorEastAsia" w:hAnsiTheme="minorEastAsia"/>
          <w:sz w:val="24"/>
        </w:rPr>
      </w:pPr>
      <w:r>
        <w:rPr>
          <w:rFonts w:hint="eastAsia" w:eastAsia="宋体" w:cs="Times New Roman" w:asciiTheme="minorEastAsia" w:hAnsiTheme="minorEastAsia"/>
          <w:sz w:val="24"/>
          <w:lang w:eastAsia="zh-CN"/>
        </w:rPr>
        <w:t>①</w:t>
      </w:r>
      <w:r>
        <w:rPr>
          <w:rFonts w:hint="eastAsia" w:eastAsia="宋体" w:cs="Times New Roman" w:asciiTheme="minorEastAsia" w:hAnsiTheme="minorEastAsia"/>
          <w:sz w:val="24"/>
        </w:rPr>
        <w:t>组长：</w:t>
      </w:r>
      <w:r>
        <w:rPr>
          <w:rFonts w:hint="eastAsia" w:eastAsia="宋体" w:cs="Times New Roman" w:asciiTheme="minorEastAsia" w:hAnsiTheme="minorEastAsia"/>
          <w:sz w:val="24"/>
          <w:lang w:val="en-US" w:eastAsia="zh-CN"/>
        </w:rPr>
        <w:t>高文炳</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eastAsia="宋体" w:cs="Times New Roman" w:asciiTheme="minorEastAsia" w:hAnsiTheme="minorEastAsia"/>
          <w:sz w:val="24"/>
          <w:lang w:eastAsia="zh-CN"/>
        </w:rPr>
        <w:t>②</w:t>
      </w:r>
      <w:r>
        <w:rPr>
          <w:rFonts w:hint="eastAsia" w:eastAsia="宋体" w:cs="Times New Roman" w:asciiTheme="minorEastAsia" w:hAnsiTheme="minorEastAsia"/>
          <w:sz w:val="24"/>
        </w:rPr>
        <w:t>职责：负责突发事件应急电</w:t>
      </w:r>
      <w:r>
        <w:rPr>
          <w:rFonts w:hint="eastAsia" w:cs="Times New Roman" w:asciiTheme="minorEastAsia" w:hAnsiTheme="minorEastAsia"/>
          <w:sz w:val="24"/>
        </w:rPr>
        <w:t>力设备、设施抢修；突发事件应急静设备、动设备抢修；突发事件应急自控设备、仪表抢修。</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cs="Times New Roman" w:asciiTheme="minorEastAsia" w:hAnsiTheme="minorEastAsia"/>
          <w:sz w:val="24"/>
          <w:lang w:eastAsia="zh-CN"/>
        </w:rPr>
        <w:t>（</w:t>
      </w:r>
      <w:r>
        <w:rPr>
          <w:rFonts w:hint="eastAsia" w:cs="Times New Roman" w:asciiTheme="minorEastAsia" w:hAnsiTheme="minorEastAsia"/>
          <w:sz w:val="24"/>
          <w:lang w:val="en-US" w:eastAsia="zh-CN"/>
        </w:rPr>
        <w:t>5</w:t>
      </w:r>
      <w:r>
        <w:rPr>
          <w:rFonts w:hint="eastAsia" w:cs="Times New Roman" w:asciiTheme="minorEastAsia" w:hAnsiTheme="minorEastAsia"/>
          <w:sz w:val="24"/>
          <w:lang w:eastAsia="zh-CN"/>
        </w:rPr>
        <w:t>）</w:t>
      </w:r>
      <w:r>
        <w:rPr>
          <w:rFonts w:hint="eastAsia" w:cs="Times New Roman" w:asciiTheme="minorEastAsia" w:hAnsiTheme="minorEastAsia"/>
          <w:sz w:val="24"/>
        </w:rPr>
        <w:t>医疗救护组：</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hint="eastAsia" w:eastAsia="宋体" w:cs="Times New Roman" w:asciiTheme="minorEastAsia" w:hAnsiTheme="minorEastAsia"/>
          <w:sz w:val="24"/>
        </w:rPr>
      </w:pPr>
      <w:r>
        <w:rPr>
          <w:rFonts w:hint="eastAsia" w:eastAsia="宋体" w:cs="Times New Roman" w:asciiTheme="minorEastAsia" w:hAnsiTheme="minorEastAsia"/>
          <w:sz w:val="24"/>
          <w:lang w:eastAsia="zh-CN"/>
        </w:rPr>
        <w:t>①</w:t>
      </w:r>
      <w:r>
        <w:rPr>
          <w:rFonts w:hint="eastAsia" w:eastAsia="宋体" w:cs="Times New Roman" w:asciiTheme="minorEastAsia" w:hAnsiTheme="minorEastAsia"/>
          <w:sz w:val="24"/>
        </w:rPr>
        <w:t>组长：</w:t>
      </w:r>
      <w:r>
        <w:rPr>
          <w:rFonts w:hint="eastAsia" w:eastAsia="宋体" w:cs="Times New Roman" w:asciiTheme="minorEastAsia" w:hAnsiTheme="minorEastAsia"/>
          <w:sz w:val="24"/>
          <w:lang w:val="en-US" w:eastAsia="zh-CN"/>
        </w:rPr>
        <w:t>陈斯明</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eastAsia="宋体" w:cs="Times New Roman" w:asciiTheme="minorEastAsia" w:hAnsiTheme="minorEastAsia"/>
          <w:sz w:val="24"/>
          <w:lang w:eastAsia="zh-CN"/>
        </w:rPr>
        <w:t>②</w:t>
      </w:r>
      <w:r>
        <w:rPr>
          <w:rFonts w:hint="eastAsia" w:eastAsia="宋体" w:cs="Times New Roman" w:asciiTheme="minorEastAsia" w:hAnsiTheme="minorEastAsia"/>
          <w:sz w:val="24"/>
        </w:rPr>
        <w:t>职责：负责伤员生活必需</w:t>
      </w:r>
      <w:r>
        <w:rPr>
          <w:rFonts w:hint="eastAsia" w:cs="Times New Roman" w:asciiTheme="minorEastAsia" w:hAnsiTheme="minorEastAsia"/>
          <w:sz w:val="24"/>
        </w:rPr>
        <w:t>品和抢险物资的供应运输；负责现场医疗急救，联系、通知医疗机构救援，陪送伤者，联络伤者家属。</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cs="Times New Roman" w:asciiTheme="minorEastAsia" w:hAnsiTheme="minorEastAsia"/>
          <w:sz w:val="24"/>
          <w:lang w:eastAsia="zh-CN"/>
        </w:rPr>
        <w:t>（</w:t>
      </w:r>
      <w:r>
        <w:rPr>
          <w:rFonts w:hint="eastAsia" w:cs="Times New Roman" w:asciiTheme="minorEastAsia" w:hAnsiTheme="minorEastAsia"/>
          <w:sz w:val="24"/>
          <w:lang w:val="en-US" w:eastAsia="zh-CN"/>
        </w:rPr>
        <w:t>6</w:t>
      </w:r>
      <w:r>
        <w:rPr>
          <w:rFonts w:hint="eastAsia" w:cs="Times New Roman" w:asciiTheme="minorEastAsia" w:hAnsiTheme="minorEastAsia"/>
          <w:sz w:val="24"/>
          <w:lang w:eastAsia="zh-CN"/>
        </w:rPr>
        <w:t>）</w:t>
      </w:r>
      <w:r>
        <w:rPr>
          <w:rFonts w:hint="eastAsia" w:cs="Times New Roman" w:asciiTheme="minorEastAsia" w:hAnsiTheme="minorEastAsia"/>
          <w:sz w:val="24"/>
        </w:rPr>
        <w:t>后勤保障组：</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hint="eastAsia" w:eastAsia="宋体" w:cs="Times New Roman" w:asciiTheme="minorEastAsia" w:hAnsiTheme="minorEastAsia"/>
          <w:sz w:val="24"/>
        </w:rPr>
      </w:pPr>
      <w:r>
        <w:rPr>
          <w:rFonts w:hint="eastAsia" w:cs="Times New Roman" w:asciiTheme="minorEastAsia" w:hAnsiTheme="minorEastAsia"/>
          <w:sz w:val="24"/>
          <w:lang w:eastAsia="zh-CN"/>
        </w:rPr>
        <w:t>①</w:t>
      </w:r>
      <w:r>
        <w:rPr>
          <w:rFonts w:hint="eastAsia" w:cs="Times New Roman" w:asciiTheme="minorEastAsia" w:hAnsiTheme="minorEastAsia"/>
          <w:sz w:val="24"/>
        </w:rPr>
        <w:t>组</w:t>
      </w:r>
      <w:r>
        <w:rPr>
          <w:rFonts w:hint="eastAsia" w:eastAsia="宋体" w:cs="Times New Roman" w:asciiTheme="minorEastAsia" w:hAnsiTheme="minorEastAsia"/>
          <w:sz w:val="24"/>
        </w:rPr>
        <w:t>长：</w:t>
      </w:r>
      <w:r>
        <w:rPr>
          <w:rFonts w:hint="eastAsia" w:ascii="Times New Roman" w:hAnsi="Times New Roman" w:cs="Times New Roman"/>
          <w:bCs/>
          <w:sz w:val="21"/>
          <w:szCs w:val="21"/>
          <w:lang w:val="en-US" w:eastAsia="zh-CN"/>
        </w:rPr>
        <w:t>胡晓彬</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eastAsia="宋体" w:cs="Times New Roman" w:asciiTheme="minorEastAsia" w:hAnsiTheme="minorEastAsia"/>
          <w:sz w:val="24"/>
          <w:lang w:eastAsia="zh-CN"/>
        </w:rPr>
        <w:t>②</w:t>
      </w:r>
      <w:r>
        <w:rPr>
          <w:rFonts w:hint="eastAsia" w:eastAsia="宋体" w:cs="Times New Roman" w:asciiTheme="minorEastAsia" w:hAnsiTheme="minorEastAsia"/>
          <w:sz w:val="24"/>
        </w:rPr>
        <w:t>职责：负责按照应急</w:t>
      </w:r>
      <w:r>
        <w:rPr>
          <w:rFonts w:hint="eastAsia" w:cs="Times New Roman" w:asciiTheme="minorEastAsia" w:hAnsiTheme="minorEastAsia"/>
          <w:sz w:val="24"/>
        </w:rPr>
        <w:t>救援预案的具体规定采购救援工具、检测仪器、个体防护装备、物资；进行通讯系统的维护；负责接受中心或避难场所的设置、食品提供等，在发生事故的时候可以保证有足够的资金与物资。</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cs="Times New Roman" w:asciiTheme="minorEastAsia" w:hAnsiTheme="minorEastAsia"/>
          <w:sz w:val="24"/>
          <w:lang w:eastAsia="zh-CN"/>
        </w:rPr>
        <w:t>（</w:t>
      </w:r>
      <w:r>
        <w:rPr>
          <w:rFonts w:hint="eastAsia" w:cs="Times New Roman" w:asciiTheme="minorEastAsia" w:hAnsiTheme="minorEastAsia"/>
          <w:sz w:val="24"/>
          <w:lang w:val="en-US" w:eastAsia="zh-CN"/>
        </w:rPr>
        <w:t>7</w:t>
      </w:r>
      <w:r>
        <w:rPr>
          <w:rFonts w:hint="eastAsia" w:cs="Times New Roman" w:asciiTheme="minorEastAsia" w:hAnsiTheme="minorEastAsia"/>
          <w:sz w:val="24"/>
          <w:lang w:eastAsia="zh-CN"/>
        </w:rPr>
        <w:t>）</w:t>
      </w:r>
      <w:r>
        <w:rPr>
          <w:rFonts w:hint="eastAsia" w:cs="Times New Roman" w:asciiTheme="minorEastAsia" w:hAnsiTheme="minorEastAsia"/>
          <w:sz w:val="24"/>
        </w:rPr>
        <w:t>应急专家组</w:t>
      </w:r>
    </w:p>
    <w:p>
      <w:pPr>
        <w:pageBreakBefore w:val="0"/>
        <w:widowControl w:val="0"/>
        <w:kinsoku/>
        <w:wordWrap/>
        <w:overflowPunct/>
        <w:topLinePunct w:val="0"/>
        <w:autoSpaceDE/>
        <w:autoSpaceDN/>
        <w:bidi w:val="0"/>
        <w:adjustRightInd/>
        <w:snapToGrid/>
        <w:spacing w:line="560" w:lineRule="exact"/>
        <w:ind w:firstLine="540" w:firstLineChars="225"/>
        <w:jc w:val="left"/>
        <w:textAlignment w:val="auto"/>
        <w:rPr>
          <w:rFonts w:cs="Times New Roman" w:asciiTheme="minorEastAsia" w:hAnsiTheme="minorEastAsia"/>
          <w:sz w:val="24"/>
        </w:rPr>
      </w:pPr>
      <w:r>
        <w:rPr>
          <w:rFonts w:hint="eastAsia" w:cs="Times New Roman" w:asciiTheme="minorEastAsia" w:hAnsiTheme="minorEastAsia"/>
          <w:sz w:val="24"/>
          <w:lang w:eastAsia="zh-CN"/>
        </w:rPr>
        <w:t>①</w:t>
      </w:r>
      <w:r>
        <w:rPr>
          <w:rFonts w:hint="eastAsia" w:cs="Times New Roman" w:asciiTheme="minorEastAsia" w:hAnsiTheme="minorEastAsia"/>
          <w:sz w:val="24"/>
        </w:rPr>
        <w:t>组长：呼石化公司专家库内专家</w:t>
      </w:r>
    </w:p>
    <w:p>
      <w:pPr>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cs="Times New Roman" w:asciiTheme="minorEastAsia" w:hAnsiTheme="minorEastAsia"/>
          <w:sz w:val="24"/>
        </w:rPr>
      </w:pPr>
      <w:r>
        <w:rPr>
          <w:rFonts w:hint="eastAsia" w:cs="Times New Roman" w:asciiTheme="minorEastAsia" w:hAnsiTheme="minorEastAsia"/>
          <w:sz w:val="24"/>
          <w:lang w:eastAsia="zh-CN"/>
        </w:rPr>
        <w:t>②</w:t>
      </w:r>
      <w:r>
        <w:rPr>
          <w:rFonts w:hint="eastAsia" w:cs="Times New Roman" w:asciiTheme="minorEastAsia" w:hAnsiTheme="minorEastAsia"/>
          <w:sz w:val="24"/>
        </w:rPr>
        <w:t>职责：呼石化公司建立突发事件应急处置专家库，在应急状态下或应呼和浩特市政府应急联动的要求，调动相关专家组成应急救援专家组，提供技术支持。专家组成员原则上由呼石化公司高级工程师、工程师、技师及有丰富现场工作经验的人员组成。为现场应急工作提出实施应急救援方案的建议和技术支持；根据应急办公室安排，参与制定重特大应急方案和现场处置工作；负责应急办公室交办的其它任务。</w:t>
      </w:r>
    </w:p>
    <w:p>
      <w:pPr>
        <w:pStyle w:val="4"/>
        <w:keepNext/>
        <w:keepLines w:val="0"/>
        <w:pageBreakBefore w:val="0"/>
        <w:widowControl w:val="0"/>
        <w:kinsoku/>
        <w:wordWrap/>
        <w:overflowPunct/>
        <w:topLinePunct w:val="0"/>
        <w:autoSpaceDE/>
        <w:autoSpaceDN/>
        <w:bidi w:val="0"/>
        <w:adjustRightInd/>
        <w:snapToGrid/>
        <w:spacing w:line="560" w:lineRule="exact"/>
        <w:ind w:left="0" w:leftChars="0" w:firstLine="0" w:firstLineChars="0"/>
        <w:textAlignment w:val="auto"/>
        <w:rPr>
          <w:rFonts w:hint="default" w:ascii="Times New Roman" w:hAnsi="Times New Roman" w:eastAsia="宋体" w:cs="Times New Roman"/>
          <w:b/>
          <w:bCs/>
          <w:color w:val="auto"/>
          <w:sz w:val="24"/>
          <w:szCs w:val="24"/>
        </w:rPr>
      </w:pPr>
      <w:bookmarkStart w:id="285" w:name="_Toc23979"/>
      <w:bookmarkStart w:id="286" w:name="_Toc5794"/>
      <w:bookmarkStart w:id="287" w:name="_Toc30073"/>
      <w:r>
        <w:rPr>
          <w:rFonts w:hint="eastAsia" w:ascii="Times New Roman" w:hAnsi="Times New Roman" w:eastAsia="宋体" w:cs="Times New Roman"/>
          <w:b/>
          <w:bCs/>
          <w:color w:val="auto"/>
          <w:sz w:val="24"/>
          <w:szCs w:val="24"/>
          <w:lang w:val="en-US" w:eastAsia="zh-CN"/>
        </w:rPr>
        <w:t>4.3</w:t>
      </w:r>
      <w:r>
        <w:rPr>
          <w:rFonts w:hint="eastAsia" w:ascii="Times New Roman" w:hAnsi="Times New Roman" w:eastAsia="宋体" w:cs="Times New Roman"/>
          <w:b/>
          <w:bCs/>
          <w:color w:val="auto"/>
          <w:sz w:val="24"/>
          <w:szCs w:val="24"/>
        </w:rPr>
        <w:t>应急领导小组主要负责人替补原则</w:t>
      </w:r>
      <w:bookmarkEnd w:id="285"/>
      <w:bookmarkEnd w:id="286"/>
      <w:bookmarkEnd w:id="287"/>
    </w:p>
    <w:p>
      <w:pPr>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eastAsia" w:eastAsia="宋体" w:cs="Times New Roman" w:asciiTheme="minorEastAsia" w:hAnsiTheme="minorEastAsia"/>
          <w:sz w:val="24"/>
        </w:rPr>
      </w:pPr>
      <w:r>
        <w:rPr>
          <w:rFonts w:hint="eastAsia" w:cs="Times New Roman" w:asciiTheme="minorEastAsia" w:hAnsiTheme="minorEastAsia"/>
          <w:sz w:val="24"/>
        </w:rPr>
        <w:t>应急领导小组组长不在岗时，由副组长代替组长组织应急救援工作，当组</w:t>
      </w:r>
      <w:r>
        <w:rPr>
          <w:rFonts w:hint="eastAsia" w:eastAsia="宋体" w:cs="Times New Roman" w:asciiTheme="minorEastAsia" w:hAnsiTheme="minorEastAsia"/>
          <w:sz w:val="24"/>
        </w:rPr>
        <w:t>长、副组长均不在时，由应急领导小组办公室主任为总指挥，全权负责应急救援工作。在事故突发的瞬间由专家组临时指挥直到领导小组组长到场为止。</w:t>
      </w:r>
    </w:p>
    <w:p>
      <w:pPr>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default" w:eastAsia="宋体" w:cs="Times New Roman" w:asciiTheme="minorEastAsia" w:hAnsiTheme="minorEastAsia"/>
          <w:sz w:val="24"/>
          <w:lang w:val="en-US" w:eastAsia="zh-CN"/>
        </w:rPr>
      </w:pPr>
      <w:r>
        <w:rPr>
          <w:rFonts w:hint="eastAsia" w:eastAsia="宋体" w:cs="Times New Roman" w:asciiTheme="minorEastAsia" w:hAnsiTheme="minorEastAsia"/>
          <w:sz w:val="24"/>
        </w:rPr>
        <w:t>其他应急救援小组主要负责人因各种原因缺位时，按领导职务顺序排列予以替补。</w:t>
      </w:r>
    </w:p>
    <w:p>
      <w:pPr>
        <w:rPr>
          <w:rFonts w:hint="eastAsia" w:ascii="宋体" w:hAnsi="宋体" w:eastAsia="宋体" w:cs="宋体"/>
          <w:lang w:val="en-US" w:eastAsia="zh-CN"/>
        </w:rPr>
      </w:pPr>
      <w:bookmarkStart w:id="288" w:name="_Toc8520"/>
      <w:bookmarkStart w:id="289" w:name="_Toc23743"/>
      <w:bookmarkStart w:id="290" w:name="_Toc3572"/>
      <w:r>
        <w:rPr>
          <w:rFonts w:hint="eastAsia" w:ascii="宋体" w:hAnsi="宋体" w:eastAsia="宋体" w:cs="宋体"/>
          <w:lang w:val="en-US" w:eastAsia="zh-CN"/>
        </w:rPr>
        <w:br w:type="page"/>
      </w:r>
    </w:p>
    <w:p>
      <w:pPr>
        <w:pStyle w:val="3"/>
        <w:bidi w:val="0"/>
        <w:rPr>
          <w:rFonts w:hint="eastAsia" w:ascii="宋体" w:hAnsi="宋体" w:eastAsia="宋体" w:cs="宋体"/>
        </w:rPr>
      </w:pPr>
      <w:bookmarkStart w:id="291" w:name="_Toc5181"/>
      <w:bookmarkStart w:id="292" w:name="_Toc32361"/>
      <w:r>
        <w:rPr>
          <w:rFonts w:hint="eastAsia" w:ascii="宋体" w:hAnsi="宋体" w:eastAsia="宋体" w:cs="宋体"/>
          <w:lang w:val="en-US" w:eastAsia="zh-CN"/>
        </w:rPr>
        <w:t>5</w:t>
      </w:r>
      <w:r>
        <w:rPr>
          <w:rFonts w:hint="eastAsia" w:ascii="宋体" w:hAnsi="宋体" w:eastAsia="宋体" w:cs="宋体"/>
        </w:rPr>
        <w:t>突发环境事件及后果分析</w:t>
      </w:r>
      <w:bookmarkEnd w:id="288"/>
      <w:bookmarkEnd w:id="289"/>
      <w:bookmarkEnd w:id="290"/>
      <w:bookmarkEnd w:id="291"/>
      <w:bookmarkEnd w:id="292"/>
    </w:p>
    <w:p>
      <w:pPr>
        <w:pStyle w:val="4"/>
        <w:bidi w:val="0"/>
        <w:rPr>
          <w:rFonts w:hint="eastAsia" w:ascii="宋体" w:hAnsi="宋体" w:eastAsia="宋体" w:cs="宋体"/>
        </w:rPr>
      </w:pPr>
      <w:bookmarkStart w:id="293" w:name="_Toc498505463"/>
      <w:bookmarkStart w:id="294" w:name="_Toc14194"/>
      <w:bookmarkStart w:id="295" w:name="_Toc7204"/>
      <w:bookmarkStart w:id="296" w:name="_Toc16838"/>
      <w:bookmarkStart w:id="297" w:name="_Toc28299"/>
      <w:bookmarkStart w:id="298" w:name="_Toc29217"/>
      <w:bookmarkStart w:id="299" w:name="_Toc26227"/>
      <w:bookmarkStart w:id="300" w:name="_Toc20360"/>
      <w:r>
        <w:rPr>
          <w:rFonts w:hint="eastAsia" w:ascii="宋体" w:hAnsi="宋体" w:eastAsia="宋体" w:cs="宋体"/>
          <w:lang w:val="en-US" w:eastAsia="zh-CN"/>
        </w:rPr>
        <w:t>5</w:t>
      </w:r>
      <w:r>
        <w:rPr>
          <w:rFonts w:hint="eastAsia" w:ascii="宋体" w:hAnsi="宋体" w:eastAsia="宋体" w:cs="宋体"/>
        </w:rPr>
        <w:t>.1</w:t>
      </w:r>
      <w:bookmarkEnd w:id="293"/>
      <w:r>
        <w:rPr>
          <w:rFonts w:hint="eastAsia" w:ascii="宋体" w:hAnsi="宋体" w:eastAsia="宋体" w:cs="宋体"/>
        </w:rPr>
        <w:t>突发环境事件情景分析</w:t>
      </w:r>
      <w:bookmarkEnd w:id="294"/>
      <w:bookmarkEnd w:id="295"/>
      <w:bookmarkEnd w:id="296"/>
      <w:bookmarkEnd w:id="297"/>
      <w:bookmarkEnd w:id="298"/>
      <w:bookmarkEnd w:id="299"/>
      <w:bookmarkEnd w:id="300"/>
    </w:p>
    <w:p>
      <w:pPr>
        <w:pStyle w:val="5"/>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eastAsia="zh-CN"/>
        </w:rPr>
      </w:pPr>
      <w:bookmarkStart w:id="301" w:name="_Toc19074"/>
      <w:r>
        <w:rPr>
          <w:rFonts w:hint="eastAsia" w:ascii="宋体" w:hAnsi="宋体" w:eastAsia="宋体" w:cs="宋体"/>
          <w:color w:val="auto"/>
          <w:highlight w:val="none"/>
          <w:lang w:val="en-US" w:eastAsia="zh-CN"/>
        </w:rPr>
        <w:t>5.1.1</w:t>
      </w:r>
      <w:r>
        <w:rPr>
          <w:rFonts w:hint="eastAsia" w:ascii="宋体" w:hAnsi="宋体" w:eastAsia="宋体" w:cs="宋体"/>
          <w:color w:val="auto"/>
          <w:highlight w:val="none"/>
          <w:lang w:eastAsia="zh-CN"/>
        </w:rPr>
        <w:t>典型事故案例</w:t>
      </w:r>
      <w:bookmarkEnd w:id="301"/>
    </w:p>
    <w:p>
      <w:pPr>
        <w:pageBreakBefore w:val="0"/>
        <w:widowControl w:val="0"/>
        <w:kinsoku/>
        <w:wordWrap/>
        <w:overflowPunct/>
        <w:topLinePunct w:val="0"/>
        <w:bidi w:val="0"/>
        <w:snapToGrid w:val="0"/>
        <w:spacing w:line="360" w:lineRule="auto"/>
        <w:ind w:firstLine="480" w:firstLineChars="200"/>
        <w:rPr>
          <w:rFonts w:hint="eastAsia"/>
          <w:sz w:val="24"/>
          <w:lang w:val="zh-CN"/>
        </w:rPr>
      </w:pPr>
      <w:bookmarkStart w:id="302" w:name="_Toc12110"/>
      <w:bookmarkStart w:id="303" w:name="_Toc2554"/>
      <w:r>
        <w:rPr>
          <w:rFonts w:hint="eastAsia"/>
          <w:sz w:val="24"/>
          <w:lang w:val="zh-CN"/>
        </w:rPr>
        <w:t>（1）2023年 6月21日20时40分许，宁夏回族自治区银川市兴庆区富洋烧烤店发生一起特别重大燃气爆炸事故，造成31人死亡、7人受伤。6月24日，银川市公安局兴庆区分局发布警情通报称，经查，烧烤店总店长海某（已死亡）、工作人员李某翔（已死亡）违反有关安全管理规定，擅自更换与液化气罐相连接的减压阀，导致液化气罐中液化气快速泄漏，引发爆炸。</w:t>
      </w:r>
    </w:p>
    <w:p>
      <w:pPr>
        <w:pageBreakBefore w:val="0"/>
        <w:widowControl w:val="0"/>
        <w:kinsoku/>
        <w:wordWrap/>
        <w:overflowPunct/>
        <w:topLinePunct w:val="0"/>
        <w:bidi w:val="0"/>
        <w:snapToGrid w:val="0"/>
        <w:spacing w:line="360" w:lineRule="auto"/>
        <w:ind w:firstLine="480" w:firstLineChars="200"/>
        <w:rPr>
          <w:rFonts w:hint="eastAsia"/>
          <w:sz w:val="24"/>
          <w:lang w:val="zh-CN"/>
        </w:rPr>
      </w:pPr>
      <w:r>
        <w:rPr>
          <w:rFonts w:hint="eastAsia"/>
          <w:sz w:val="24"/>
          <w:lang w:val="zh-CN"/>
        </w:rPr>
        <w:t>（2）2022年6月24日，河北省廊坊市三河市福成尚街时代广场一商户发生液化石油气瓶燃爆事故，事故共造成22人受伤，其中2人经抢救无效死亡。</w:t>
      </w:r>
    </w:p>
    <w:p>
      <w:pPr>
        <w:pageBreakBefore w:val="0"/>
        <w:widowControl w:val="0"/>
        <w:kinsoku/>
        <w:wordWrap/>
        <w:overflowPunct/>
        <w:topLinePunct w:val="0"/>
        <w:bidi w:val="0"/>
        <w:snapToGrid w:val="0"/>
        <w:spacing w:line="360" w:lineRule="auto"/>
        <w:ind w:firstLine="480" w:firstLineChars="200"/>
        <w:rPr>
          <w:rFonts w:hint="eastAsia"/>
          <w:sz w:val="24"/>
          <w:lang w:val="zh-CN"/>
        </w:rPr>
      </w:pPr>
      <w:r>
        <w:rPr>
          <w:rFonts w:hint="eastAsia"/>
          <w:sz w:val="24"/>
          <w:lang w:val="zh-CN"/>
        </w:rPr>
        <w:t>（3）2022年6月21日，山东省泰安市绿地公馆一门面房因液化气罐泄漏引发的爆炸事故，造成13人受伤。其中3人因受伤严重、伤情恶化，经抢救无效死亡。</w:t>
      </w:r>
    </w:p>
    <w:p>
      <w:pPr>
        <w:pageBreakBefore w:val="0"/>
        <w:widowControl w:val="0"/>
        <w:kinsoku/>
        <w:wordWrap/>
        <w:overflowPunct/>
        <w:topLinePunct w:val="0"/>
        <w:bidi w:val="0"/>
        <w:snapToGrid w:val="0"/>
        <w:spacing w:line="360" w:lineRule="auto"/>
        <w:ind w:firstLine="480" w:firstLineChars="200"/>
        <w:rPr>
          <w:rFonts w:hint="eastAsia"/>
          <w:sz w:val="24"/>
          <w:lang w:val="zh-CN"/>
        </w:rPr>
      </w:pPr>
      <w:r>
        <w:rPr>
          <w:rFonts w:hint="eastAsia"/>
          <w:sz w:val="24"/>
          <w:lang w:val="zh-CN"/>
        </w:rPr>
        <w:t>（4）2022年6月1日，湖南省长沙市长沙县星沙街道一早餐店发生火灾并引发燃爆事故，事故已造成1人死亡、13人受伤，其中1名消防员在处理事故时不幸牺牲。事故原因系液化石油气罐泄漏导致空间丙烷浓度过高引发爆炸。</w:t>
      </w:r>
    </w:p>
    <w:p>
      <w:pPr>
        <w:pageBreakBefore w:val="0"/>
        <w:widowControl w:val="0"/>
        <w:kinsoku/>
        <w:wordWrap/>
        <w:overflowPunct/>
        <w:topLinePunct w:val="0"/>
        <w:bidi w:val="0"/>
        <w:snapToGrid w:val="0"/>
        <w:spacing w:line="360" w:lineRule="auto"/>
        <w:ind w:firstLine="480" w:firstLineChars="200"/>
        <w:rPr>
          <w:rFonts w:hint="eastAsia" w:eastAsia="宋体"/>
          <w:sz w:val="24"/>
          <w:lang w:val="en-US" w:eastAsia="zh-CN"/>
        </w:rPr>
      </w:pPr>
      <w:r>
        <w:rPr>
          <w:rFonts w:hint="eastAsia"/>
          <w:sz w:val="24"/>
          <w:lang w:val="zh-CN"/>
        </w:rPr>
        <w:t>通过上述事故案例可以看出，许多重大石油天然气事故的直接原因是由于人的疏忽，或对存在的事故隐患缺乏足够的认识所致，而且多数事故原因是属于常识性的。因此在充分了解石油气危险特性的前提下绝大多数事故都是可以预防的。</w:t>
      </w:r>
    </w:p>
    <w:p>
      <w:pPr>
        <w:pStyle w:val="5"/>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val="zh-CN" w:eastAsia="zh-CN"/>
        </w:rPr>
      </w:pPr>
      <w:r>
        <w:rPr>
          <w:rFonts w:hint="eastAsia" w:ascii="宋体" w:hAnsi="宋体" w:eastAsia="宋体" w:cs="宋体"/>
          <w:color w:val="auto"/>
          <w:highlight w:val="none"/>
          <w:lang w:val="en-US" w:eastAsia="zh-CN"/>
        </w:rPr>
        <w:t>5.1.2</w:t>
      </w:r>
      <w:r>
        <w:rPr>
          <w:rFonts w:hint="eastAsia" w:ascii="宋体" w:hAnsi="宋体" w:eastAsia="宋体" w:cs="宋体"/>
          <w:color w:val="auto"/>
          <w:highlight w:val="none"/>
          <w:lang w:eastAsia="zh-CN"/>
        </w:rPr>
        <w:t>本企业可能发生突发环境事件情景</w:t>
      </w:r>
      <w:bookmarkEnd w:id="302"/>
      <w:bookmarkEnd w:id="30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sz w:val="24"/>
          <w:szCs w:val="24"/>
          <w:lang w:val="en-US" w:eastAsia="zh-CN"/>
        </w:rPr>
      </w:pPr>
      <w:r>
        <w:rPr>
          <w:rFonts w:hint="eastAsia" w:eastAsia="宋体" w:cs="Times New Roman"/>
          <w:sz w:val="24"/>
          <w:szCs w:val="24"/>
          <w:lang w:val="en-US" w:eastAsia="zh-CN"/>
        </w:rPr>
        <w:t>结合本公司原辅材料及生产工艺，企业可能引发或次生突发环境时间的最坏情景见下表。</w:t>
      </w:r>
    </w:p>
    <w:p>
      <w:pPr>
        <w:pageBreakBefore w:val="0"/>
        <w:wordWrap/>
        <w:topLinePunct w:val="0"/>
        <w:bidi w:val="0"/>
        <w:spacing w:line="240" w:lineRule="auto"/>
        <w:ind w:left="0" w:leftChars="0" w:right="0" w:right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表5.1-1  企业可能引发或次生突发环境事件的最坏情景</w:t>
      </w:r>
    </w:p>
    <w:tbl>
      <w:tblPr>
        <w:tblStyle w:val="21"/>
        <w:tblW w:w="4998" w:type="pct"/>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508"/>
        <w:gridCol w:w="2115"/>
        <w:gridCol w:w="2521"/>
        <w:gridCol w:w="3375"/>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12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突发环境事件</w:t>
            </w:r>
          </w:p>
        </w:tc>
        <w:tc>
          <w:tcPr>
            <w:tcW w:w="1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诱发因素</w:t>
            </w:r>
          </w:p>
        </w:tc>
        <w:tc>
          <w:tcPr>
            <w:tcW w:w="19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影响后果</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sz w:val="21"/>
                <w:szCs w:val="21"/>
              </w:rPr>
            </w:pPr>
            <w:r>
              <w:rPr>
                <w:rFonts w:hint="default" w:ascii="Times New Roman" w:hAnsi="Times New Roman" w:eastAsia="宋体" w:cs="Times New Roman"/>
                <w:color w:val="000000"/>
                <w:sz w:val="21"/>
                <w:szCs w:val="21"/>
              </w:rPr>
              <w:t>1</w:t>
            </w:r>
          </w:p>
        </w:tc>
        <w:tc>
          <w:tcPr>
            <w:tcW w:w="12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sz w:val="21"/>
                <w:szCs w:val="21"/>
                <w:lang w:val="en-US"/>
              </w:rPr>
            </w:pPr>
            <w:r>
              <w:rPr>
                <w:rFonts w:hint="eastAsia" w:ascii="Times New Roman" w:hAnsi="Times New Roman" w:eastAsia="宋体" w:cs="Times New Roman"/>
                <w:sz w:val="21"/>
                <w:szCs w:val="21"/>
                <w:lang w:val="en-US" w:eastAsia="zh-CN"/>
              </w:rPr>
              <w:t>工艺系统失控</w:t>
            </w:r>
            <w:r>
              <w:rPr>
                <w:rFonts w:hint="default" w:ascii="Times New Roman" w:hAnsi="Times New Roman" w:eastAsia="宋体" w:cs="Times New Roman"/>
                <w:color w:val="000000"/>
                <w:sz w:val="21"/>
                <w:szCs w:val="21"/>
                <w:lang w:val="en-US"/>
              </w:rPr>
              <w:t>(设备破裂或温控异常)</w:t>
            </w:r>
            <w:r>
              <w:rPr>
                <w:rFonts w:hint="eastAsia" w:ascii="Times New Roman" w:hAnsi="Times New Roman" w:eastAsia="宋体" w:cs="Times New Roman"/>
                <w:color w:val="000000"/>
                <w:sz w:val="21"/>
                <w:szCs w:val="21"/>
                <w:lang w:val="en-US" w:eastAsia="zh-CN"/>
              </w:rPr>
              <w:t>导致</w:t>
            </w:r>
            <w:r>
              <w:rPr>
                <w:rFonts w:hint="eastAsia" w:ascii="Times New Roman" w:hAnsi="Times New Roman" w:eastAsia="宋体" w:cs="Times New Roman"/>
                <w:sz w:val="21"/>
                <w:szCs w:val="21"/>
                <w:lang w:val="en-US" w:eastAsia="zh-CN"/>
              </w:rPr>
              <w:t>大量危化品泄漏，引发火灾爆炸事故</w:t>
            </w:r>
          </w:p>
        </w:tc>
        <w:tc>
          <w:tcPr>
            <w:tcW w:w="1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color w:val="000000"/>
                <w:sz w:val="21"/>
                <w:szCs w:val="21"/>
                <w:lang w:val="en-US" w:eastAsia="zh-CN"/>
              </w:rPr>
              <w:t>工艺系统</w:t>
            </w:r>
            <w:r>
              <w:rPr>
                <w:rFonts w:hint="default" w:ascii="Times New Roman" w:hAnsi="Times New Roman" w:eastAsia="宋体" w:cs="Times New Roman"/>
                <w:sz w:val="21"/>
                <w:szCs w:val="21"/>
                <w:lang w:val="en-US" w:eastAsia="zh-CN"/>
              </w:rPr>
              <w:t>出现故障或操作失误、仪表失灵</w:t>
            </w:r>
            <w:r>
              <w:rPr>
                <w:rFonts w:hint="eastAsia" w:ascii="Times New Roman" w:hAnsi="Times New Roman" w:eastAsia="宋体" w:cs="Times New Roman"/>
                <w:sz w:val="21"/>
                <w:szCs w:val="21"/>
                <w:lang w:val="en-US" w:eastAsia="zh-CN"/>
              </w:rPr>
              <w:t>、违章操作、用火不当等造成易燃物料泄漏发生火灾或爆炸。</w:t>
            </w:r>
          </w:p>
        </w:tc>
        <w:tc>
          <w:tcPr>
            <w:tcW w:w="19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有毒物料燃烧</w:t>
            </w:r>
            <w:r>
              <w:rPr>
                <w:rFonts w:hint="default" w:ascii="Times New Roman" w:hAnsi="Times New Roman" w:eastAsia="宋体" w:cs="Times New Roman"/>
                <w:sz w:val="21"/>
                <w:szCs w:val="21"/>
                <w:lang w:val="en-US" w:eastAsia="zh-CN"/>
              </w:rPr>
              <w:t>放出大量有毒粉尘和气体，</w:t>
            </w:r>
            <w:r>
              <w:rPr>
                <w:rFonts w:hint="eastAsia" w:ascii="Times New Roman" w:hAnsi="Times New Roman" w:eastAsia="宋体" w:cs="Times New Roman"/>
                <w:sz w:val="21"/>
                <w:szCs w:val="21"/>
                <w:lang w:val="en-US" w:eastAsia="zh-CN"/>
              </w:rPr>
              <w:t>污染环境空气；</w:t>
            </w:r>
            <w:r>
              <w:rPr>
                <w:rFonts w:hint="default" w:ascii="Times New Roman" w:hAnsi="Times New Roman" w:eastAsia="宋体" w:cs="Times New Roman"/>
                <w:sz w:val="21"/>
                <w:szCs w:val="21"/>
                <w:lang w:val="en-US" w:eastAsia="zh-CN"/>
              </w:rPr>
              <w:t>各种有毒有害</w:t>
            </w:r>
            <w:r>
              <w:rPr>
                <w:rFonts w:hint="eastAsia" w:ascii="Times New Roman" w:hAnsi="Times New Roman" w:eastAsia="宋体" w:cs="Times New Roman"/>
                <w:sz w:val="21"/>
                <w:szCs w:val="21"/>
                <w:lang w:val="en-US" w:eastAsia="zh-CN"/>
              </w:rPr>
              <w:t>污染物</w:t>
            </w:r>
            <w:r>
              <w:rPr>
                <w:rFonts w:hint="default" w:ascii="Times New Roman" w:hAnsi="Times New Roman" w:eastAsia="宋体" w:cs="Times New Roman"/>
                <w:sz w:val="21"/>
                <w:szCs w:val="21"/>
                <w:lang w:val="en-US" w:eastAsia="zh-CN"/>
              </w:rPr>
              <w:t>及</w:t>
            </w:r>
            <w:r>
              <w:rPr>
                <w:rFonts w:hint="eastAsia" w:ascii="Times New Roman" w:hAnsi="Times New Roman" w:eastAsia="宋体" w:cs="Times New Roman"/>
                <w:sz w:val="21"/>
                <w:szCs w:val="21"/>
                <w:lang w:val="en-US" w:eastAsia="zh-CN"/>
              </w:rPr>
              <w:t>消防</w:t>
            </w:r>
            <w:r>
              <w:rPr>
                <w:rFonts w:hint="default" w:ascii="Times New Roman" w:hAnsi="Times New Roman" w:eastAsia="宋体" w:cs="Times New Roman"/>
                <w:sz w:val="21"/>
                <w:szCs w:val="21"/>
                <w:lang w:val="en-US" w:eastAsia="zh-CN"/>
              </w:rPr>
              <w:t>废水泄露在地面会直接污染土壤，处理不及时将渗入地下水体，从而污染地下水</w:t>
            </w:r>
            <w:r>
              <w:rPr>
                <w:rFonts w:hint="eastAsia" w:ascii="Times New Roman" w:hAnsi="Times New Roman" w:eastAsia="宋体" w:cs="Times New Roman"/>
                <w:sz w:val="21"/>
                <w:szCs w:val="21"/>
                <w:lang w:val="en-US" w:eastAsia="zh-CN"/>
              </w:rPr>
              <w:t>；或溢流至厂外对周围土壤、地表水造成污染。</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color w:val="000000"/>
                <w:sz w:val="21"/>
                <w:szCs w:val="21"/>
                <w:lang w:eastAsia="zh-CN"/>
              </w:rPr>
            </w:pPr>
            <w:r>
              <w:rPr>
                <w:rFonts w:hint="eastAsia" w:ascii="Times New Roman" w:hAnsi="Times New Roman" w:eastAsia="宋体" w:cs="Times New Roman"/>
                <w:color w:val="000000"/>
                <w:sz w:val="21"/>
                <w:szCs w:val="21"/>
                <w:lang w:val="en-US" w:eastAsia="zh-CN"/>
              </w:rPr>
              <w:t>2</w:t>
            </w:r>
          </w:p>
        </w:tc>
        <w:tc>
          <w:tcPr>
            <w:tcW w:w="12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sz w:val="21"/>
                <w:szCs w:val="21"/>
                <w:lang w:val="en-US" w:eastAsia="zh-CN"/>
              </w:rPr>
              <w:t>原油储罐大量泄露</w:t>
            </w:r>
            <w:r>
              <w:rPr>
                <w:rFonts w:hint="default" w:ascii="Times New Roman" w:hAnsi="Times New Roman" w:eastAsia="宋体" w:cs="Times New Roman"/>
                <w:sz w:val="21"/>
                <w:szCs w:val="21"/>
                <w:lang w:val="en-US"/>
              </w:rPr>
              <w:t>泄漏</w:t>
            </w:r>
            <w:r>
              <w:rPr>
                <w:rFonts w:hint="eastAsia" w:ascii="Times New Roman" w:hAnsi="Times New Roman" w:eastAsia="宋体" w:cs="Times New Roman"/>
                <w:sz w:val="21"/>
                <w:szCs w:val="21"/>
                <w:lang w:val="en-US" w:eastAsia="zh-CN"/>
              </w:rPr>
              <w:t>，引发火灾爆炸事故</w:t>
            </w:r>
          </w:p>
        </w:tc>
        <w:tc>
          <w:tcPr>
            <w:tcW w:w="1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罐区</w:t>
            </w:r>
            <w:r>
              <w:rPr>
                <w:rFonts w:hint="default" w:ascii="Times New Roman" w:hAnsi="Times New Roman" w:eastAsia="宋体" w:cs="Times New Roman"/>
                <w:color w:val="000000"/>
                <w:sz w:val="21"/>
                <w:szCs w:val="21"/>
                <w:lang w:val="en-US" w:eastAsia="zh-CN"/>
              </w:rPr>
              <w:t>设备（包括管线、阀门或其它设施）出现故障或操作失误、仪表失灵等，使</w:t>
            </w:r>
            <w:r>
              <w:rPr>
                <w:rFonts w:hint="eastAsia" w:ascii="Times New Roman" w:hAnsi="Times New Roman" w:eastAsia="宋体" w:cs="Times New Roman"/>
                <w:color w:val="000000"/>
                <w:sz w:val="21"/>
                <w:szCs w:val="21"/>
                <w:lang w:val="en-US" w:eastAsia="zh-CN"/>
              </w:rPr>
              <w:t>原油</w:t>
            </w:r>
            <w:r>
              <w:rPr>
                <w:rFonts w:hint="default" w:ascii="Times New Roman" w:hAnsi="Times New Roman" w:eastAsia="宋体" w:cs="Times New Roman"/>
                <w:color w:val="000000"/>
                <w:sz w:val="21"/>
                <w:szCs w:val="21"/>
                <w:lang w:val="en-US" w:eastAsia="zh-CN"/>
              </w:rPr>
              <w:t>泄漏</w:t>
            </w:r>
            <w:r>
              <w:rPr>
                <w:rFonts w:hint="eastAsia" w:ascii="Times New Roman" w:hAnsi="Times New Roman" w:eastAsia="宋体" w:cs="Times New Roman"/>
                <w:color w:val="000000"/>
                <w:sz w:val="21"/>
                <w:szCs w:val="21"/>
                <w:lang w:val="en-US" w:eastAsia="zh-CN"/>
              </w:rPr>
              <w:t>、引发火灾爆炸事故。</w:t>
            </w:r>
          </w:p>
        </w:tc>
        <w:tc>
          <w:tcPr>
            <w:tcW w:w="19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原油火灾爆炸事故导致大量有毒药害物质、CO产生，</w:t>
            </w:r>
            <w:r>
              <w:rPr>
                <w:rFonts w:hint="default" w:ascii="Times New Roman" w:hAnsi="Times New Roman" w:eastAsia="宋体" w:cs="Times New Roman"/>
                <w:color w:val="000000"/>
                <w:sz w:val="21"/>
                <w:szCs w:val="21"/>
                <w:lang w:val="en-US" w:eastAsia="zh-CN"/>
              </w:rPr>
              <w:t>对周围环境</w:t>
            </w:r>
            <w:r>
              <w:rPr>
                <w:rFonts w:hint="eastAsia" w:ascii="Times New Roman" w:hAnsi="Times New Roman" w:eastAsia="宋体" w:cs="Times New Roman"/>
                <w:color w:val="000000"/>
                <w:sz w:val="21"/>
                <w:szCs w:val="21"/>
                <w:lang w:val="en-US" w:eastAsia="zh-CN"/>
              </w:rPr>
              <w:t>空气造成</w:t>
            </w:r>
            <w:r>
              <w:rPr>
                <w:rFonts w:hint="default" w:ascii="Times New Roman" w:hAnsi="Times New Roman" w:eastAsia="宋体" w:cs="Times New Roman"/>
                <w:color w:val="000000"/>
                <w:sz w:val="21"/>
                <w:szCs w:val="21"/>
                <w:lang w:val="en-US" w:eastAsia="zh-CN"/>
              </w:rPr>
              <w:t>污染</w:t>
            </w:r>
            <w:r>
              <w:rPr>
                <w:rFonts w:hint="eastAsia" w:ascii="Times New Roman" w:hAnsi="Times New Roman" w:eastAsia="宋体" w:cs="Times New Roman"/>
                <w:color w:val="000000"/>
                <w:sz w:val="21"/>
                <w:szCs w:val="21"/>
                <w:lang w:val="en-US" w:eastAsia="zh-CN"/>
              </w:rPr>
              <w:t>；原油泄漏对周围土壤、地下水造成污染。</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3</w:t>
            </w:r>
          </w:p>
        </w:tc>
        <w:tc>
          <w:tcPr>
            <w:tcW w:w="12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液氨、苯、甲醇等危化品大量泄漏，发生火灾爆炸事故。</w:t>
            </w:r>
          </w:p>
        </w:tc>
        <w:tc>
          <w:tcPr>
            <w:tcW w:w="1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罐区设备（包括管线、阀门或其它设施）出现故障或操作失误、仪表失灵等，使液氨泄漏。</w:t>
            </w:r>
          </w:p>
        </w:tc>
        <w:tc>
          <w:tcPr>
            <w:tcW w:w="19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液</w:t>
            </w:r>
            <w:r>
              <w:rPr>
                <w:rFonts w:hint="eastAsia" w:ascii="Times New Roman" w:hAnsi="Times New Roman" w:eastAsia="宋体" w:cs="Times New Roman"/>
                <w:color w:val="000000"/>
                <w:sz w:val="21"/>
                <w:szCs w:val="21"/>
                <w:lang w:val="en-US" w:eastAsia="zh-CN"/>
              </w:rPr>
              <w:t>氨、苯、甲醇</w:t>
            </w:r>
            <w:r>
              <w:rPr>
                <w:rFonts w:hint="default" w:ascii="Times New Roman" w:hAnsi="Times New Roman" w:eastAsia="宋体" w:cs="Times New Roman"/>
                <w:color w:val="000000"/>
                <w:sz w:val="21"/>
                <w:szCs w:val="21"/>
                <w:lang w:val="en-US" w:eastAsia="zh-CN"/>
              </w:rPr>
              <w:t>与空气混和形成爆炸性混合物。与明火、高热能引起燃烧爆炸。低浓度对人有刺激性作用，高浓度可能造成组织溶解坏死。对周围</w:t>
            </w:r>
            <w:r>
              <w:rPr>
                <w:rFonts w:hint="eastAsia" w:ascii="Times New Roman" w:hAnsi="Times New Roman" w:eastAsia="宋体" w:cs="Times New Roman"/>
                <w:color w:val="000000"/>
                <w:sz w:val="21"/>
                <w:szCs w:val="21"/>
                <w:lang w:val="en-US" w:eastAsia="zh-CN"/>
              </w:rPr>
              <w:t>企业员工造成危害</w:t>
            </w:r>
            <w:r>
              <w:rPr>
                <w:rFonts w:hint="default" w:ascii="Times New Roman" w:hAnsi="Times New Roman" w:eastAsia="宋体" w:cs="Times New Roman"/>
                <w:color w:val="000000"/>
                <w:sz w:val="21"/>
                <w:szCs w:val="21"/>
                <w:lang w:val="en-US" w:eastAsia="zh-CN"/>
              </w:rPr>
              <w:t>，同时造成周围土壤、地表水、环境空气污染。</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4</w:t>
            </w:r>
          </w:p>
        </w:tc>
        <w:tc>
          <w:tcPr>
            <w:tcW w:w="12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污水处理站运行不正常导致超标污水外排或污水处理站泄露</w:t>
            </w:r>
          </w:p>
        </w:tc>
        <w:tc>
          <w:tcPr>
            <w:tcW w:w="1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污水处理站故障或者人为故障导致污水处理不达标或者污水泄露。</w:t>
            </w:r>
          </w:p>
        </w:tc>
        <w:tc>
          <w:tcPr>
            <w:tcW w:w="19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污水处理站运行不良导致超标污水外排或者其他原因导致当污水泄露；可能对周围土壤、地表水、地下水造成污染。</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trPr>
        <w:tc>
          <w:tcPr>
            <w:tcW w:w="2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5</w:t>
            </w:r>
          </w:p>
        </w:tc>
        <w:tc>
          <w:tcPr>
            <w:tcW w:w="12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废气处理设施运行不正常，导致废气超标排放</w:t>
            </w:r>
          </w:p>
        </w:tc>
        <w:tc>
          <w:tcPr>
            <w:tcW w:w="1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废气处理设备运行故障，导致不能达标处理产生废气。</w:t>
            </w:r>
          </w:p>
        </w:tc>
        <w:tc>
          <w:tcPr>
            <w:tcW w:w="19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sz w:val="21"/>
                <w:szCs w:val="21"/>
                <w:lang w:val="en-US" w:eastAsia="zh-CN"/>
              </w:rPr>
            </w:pPr>
            <w:r>
              <w:rPr>
                <w:rFonts w:hint="default" w:ascii="Times New Roman" w:hAnsi="Times New Roman" w:eastAsia="宋体" w:cs="Times New Roman"/>
                <w:color w:val="000000"/>
                <w:sz w:val="21"/>
                <w:szCs w:val="21"/>
                <w:lang w:val="en-US" w:eastAsia="zh-CN"/>
              </w:rPr>
              <w:t>当废气处理系统运行不正常时，导致废气超标排放，造成环境空气污染。</w:t>
            </w:r>
            <w:r>
              <w:rPr>
                <w:rFonts w:hint="eastAsia" w:ascii="Times New Roman" w:hAnsi="Times New Roman" w:eastAsia="宋体" w:cs="Times New Roman"/>
                <w:color w:val="000000"/>
                <w:sz w:val="21"/>
                <w:szCs w:val="21"/>
                <w:lang w:val="en-US" w:eastAsia="zh-CN"/>
              </w:rPr>
              <w:t>同时酸性气体</w:t>
            </w:r>
            <w:r>
              <w:rPr>
                <w:rFonts w:hint="default" w:ascii="Times New Roman" w:hAnsi="Times New Roman" w:eastAsia="宋体" w:cs="Times New Roman"/>
                <w:color w:val="000000"/>
                <w:sz w:val="21"/>
                <w:szCs w:val="21"/>
                <w:lang w:val="en-US" w:eastAsia="zh-CN"/>
              </w:rPr>
              <w:t>对土壤和地下水造成污染。人在短时间内吸入高浓度</w:t>
            </w:r>
            <w:r>
              <w:rPr>
                <w:rFonts w:hint="eastAsia" w:ascii="Times New Roman" w:hAnsi="Times New Roman" w:eastAsia="宋体" w:cs="Times New Roman"/>
                <w:color w:val="000000"/>
                <w:sz w:val="21"/>
                <w:szCs w:val="21"/>
                <w:lang w:val="en-US" w:eastAsia="zh-CN"/>
              </w:rPr>
              <w:t>酸性</w:t>
            </w:r>
            <w:r>
              <w:rPr>
                <w:rFonts w:hint="default" w:ascii="Times New Roman" w:hAnsi="Times New Roman" w:eastAsia="宋体" w:cs="Times New Roman"/>
                <w:color w:val="000000"/>
                <w:sz w:val="21"/>
                <w:szCs w:val="21"/>
                <w:lang w:val="en-US" w:eastAsia="zh-CN"/>
              </w:rPr>
              <w:t>气体，可引起急性中毒。</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40" w:hRule="atLeast"/>
        </w:trPr>
        <w:tc>
          <w:tcPr>
            <w:tcW w:w="29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6</w:t>
            </w:r>
          </w:p>
        </w:tc>
        <w:tc>
          <w:tcPr>
            <w:tcW w:w="124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危险废物厂内运输、储存过程中导致</w:t>
            </w:r>
            <w:bookmarkStart w:id="476" w:name="_GoBack"/>
            <w:r>
              <w:rPr>
                <w:rFonts w:hint="eastAsia" w:ascii="Times New Roman" w:hAnsi="Times New Roman" w:eastAsia="宋体" w:cs="Times New Roman"/>
                <w:color w:val="000000"/>
                <w:sz w:val="21"/>
                <w:szCs w:val="21"/>
                <w:lang w:val="en-US" w:eastAsia="zh-CN"/>
              </w:rPr>
              <w:t>危险废物</w:t>
            </w:r>
            <w:bookmarkEnd w:id="476"/>
            <w:r>
              <w:rPr>
                <w:rFonts w:hint="eastAsia" w:ascii="Times New Roman" w:hAnsi="Times New Roman" w:eastAsia="宋体" w:cs="Times New Roman"/>
                <w:color w:val="000000"/>
                <w:sz w:val="21"/>
                <w:szCs w:val="21"/>
                <w:lang w:val="en-US" w:eastAsia="zh-CN"/>
              </w:rPr>
              <w:t>泄露</w:t>
            </w:r>
          </w:p>
        </w:tc>
        <w:tc>
          <w:tcPr>
            <w:tcW w:w="147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危险废物管理缺失、或者随意丢弃或不规范暂存。</w:t>
            </w:r>
          </w:p>
        </w:tc>
        <w:tc>
          <w:tcPr>
            <w:tcW w:w="198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val="en-US" w:eastAsia="zh-CN"/>
              </w:rPr>
              <w:t>危险废物</w:t>
            </w:r>
            <w:r>
              <w:rPr>
                <w:rFonts w:hint="default" w:ascii="Times New Roman" w:hAnsi="Times New Roman" w:eastAsia="宋体" w:cs="Times New Roman"/>
                <w:color w:val="000000"/>
                <w:sz w:val="21"/>
                <w:szCs w:val="21"/>
                <w:lang w:val="en-US" w:eastAsia="zh-CN"/>
              </w:rPr>
              <w:t>产生后随意丢弃或不规范暂存，造成土壤、地表水污染。</w:t>
            </w:r>
          </w:p>
        </w:tc>
      </w:tr>
    </w:tbl>
    <w:p>
      <w:pPr>
        <w:pStyle w:val="4"/>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val="en-US" w:eastAsia="zh-CN"/>
        </w:rPr>
      </w:pPr>
      <w:bookmarkStart w:id="304" w:name="_Toc22288"/>
      <w:bookmarkStart w:id="305" w:name="_Toc16345"/>
      <w:bookmarkStart w:id="306" w:name="_Toc2090"/>
      <w:r>
        <w:rPr>
          <w:rFonts w:hint="eastAsia" w:ascii="宋体" w:hAnsi="宋体" w:eastAsia="宋体" w:cs="宋体"/>
          <w:color w:val="auto"/>
          <w:highlight w:val="none"/>
          <w:lang w:val="en-US" w:eastAsia="zh-CN"/>
        </w:rPr>
        <w:t>5.2</w:t>
      </w:r>
      <w:r>
        <w:rPr>
          <w:rFonts w:hint="eastAsia" w:ascii="宋体" w:hAnsi="宋体" w:eastAsia="宋体" w:cs="宋体"/>
          <w:color w:val="auto"/>
          <w:highlight w:val="none"/>
          <w:lang w:val="zh-CN" w:eastAsia="zh-CN"/>
        </w:rPr>
        <w:t>突发环境事件情景源强分析（储运工程、公用及环保工程、生产故障等情节）</w:t>
      </w:r>
      <w:bookmarkEnd w:id="304"/>
      <w:bookmarkEnd w:id="305"/>
      <w:bookmarkEnd w:id="306"/>
    </w:p>
    <w:p>
      <w:pPr>
        <w:pStyle w:val="5"/>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eastAsia="zh-CN"/>
        </w:rPr>
      </w:pPr>
      <w:bookmarkStart w:id="307" w:name="_Toc29638"/>
      <w:r>
        <w:rPr>
          <w:rFonts w:hint="eastAsia" w:ascii="宋体" w:hAnsi="宋体" w:eastAsia="宋体" w:cs="宋体"/>
          <w:color w:val="auto"/>
          <w:highlight w:val="none"/>
          <w:lang w:val="en-US" w:eastAsia="zh-CN"/>
        </w:rPr>
        <w:t>5.2.1</w:t>
      </w:r>
      <w:r>
        <w:rPr>
          <w:rFonts w:hint="eastAsia" w:ascii="宋体" w:hAnsi="宋体" w:eastAsia="宋体" w:cs="宋体"/>
          <w:color w:val="auto"/>
          <w:highlight w:val="none"/>
          <w:lang w:eastAsia="zh-CN"/>
        </w:rPr>
        <w:t>生产过程中突发环境事件情景分析</w:t>
      </w:r>
      <w:bookmarkEnd w:id="307"/>
    </w:p>
    <w:p>
      <w:pPr>
        <w:pageBreakBefore w:val="0"/>
        <w:wordWrap/>
        <w:topLinePunct w:val="0"/>
        <w:bidi w:val="0"/>
        <w:spacing w:line="360" w:lineRule="auto"/>
        <w:ind w:left="0" w:leftChars="0" w:right="0" w:rightChars="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（1）本项目所用原辅料、产成品中大多为易燃物。这些物料一旦泄露，遇明火、高热能引起火灾、爆炸事故；各种原辅料及产成品在火灾情况下会产生有毒有害次生污染物如一氧化碳等。</w:t>
      </w:r>
    </w:p>
    <w:p>
      <w:pPr>
        <w:pageBreakBefore w:val="0"/>
        <w:wordWrap/>
        <w:topLinePunct w:val="0"/>
        <w:bidi w:val="0"/>
        <w:spacing w:line="360" w:lineRule="auto"/>
        <w:ind w:left="0" w:leftChars="0" w:right="0" w:rightChars="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原料设备如果冲入量过大，导致贮罐压力增大，可能发生超装二引起的爆炸事故。</w:t>
      </w:r>
    </w:p>
    <w:p>
      <w:pPr>
        <w:pageBreakBefore w:val="0"/>
        <w:wordWrap/>
        <w:topLinePunct w:val="0"/>
        <w:bidi w:val="0"/>
        <w:spacing w:line="360" w:lineRule="auto"/>
        <w:ind w:left="0" w:leftChars="0" w:right="0" w:rightChars="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当系统、压力容器或受压设备处在火灾发生的现场时，系统、压力容器或受压设备内的介质就会受热，体积膨胀，出现超压现象。这些设备受火灾影响时间越长，所产生的压力就越高，其危险性就越大。根据罐区物料的特性分析，罐区的主要危险为火灾、爆炸，因此，防火、防爆是罐区安全管理的主要任务。</w:t>
      </w:r>
    </w:p>
    <w:p>
      <w:pPr>
        <w:pageBreakBefore w:val="0"/>
        <w:wordWrap/>
        <w:topLinePunct w:val="0"/>
        <w:bidi w:val="0"/>
        <w:spacing w:line="360" w:lineRule="auto"/>
        <w:ind w:left="0" w:leftChars="0" w:right="0" w:rightChars="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公司生产过程中存在的一些物质对生产设备、管线、阀门及其它设施存在腐蚀危害。腐蚀破坏常常不容易被察觉，设备、管线、阀门长期受腐蚀一旦被腐蚀破坏(材料减薄、穿孔、强度降低、密封失效等)，物料泄漏可导致燃爆事故、人体化学灼伤事故。</w:t>
      </w:r>
    </w:p>
    <w:p>
      <w:pPr>
        <w:pageBreakBefore w:val="0"/>
        <w:wordWrap/>
        <w:topLinePunct w:val="0"/>
        <w:bidi w:val="0"/>
        <w:spacing w:line="360" w:lineRule="auto"/>
        <w:ind w:left="0" w:leftChars="0" w:right="0" w:rightChars="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（3）设备、泵机、阀门、 管线泄漏或管理、操作不当导致的火灾爆炸危险。 生产过程中安全管理不到位或管理不当，可能因违章指挥、违章作业、违反操作规程而引发火灾爆炸事故。作业人员素质低或未经培训即上岗作业，对生产过程中出现的异常现象不能及时发现、正确处理，可能因贻误处理时机或处理不当而引发火灾爆炸事故。</w:t>
      </w:r>
    </w:p>
    <w:p>
      <w:pPr>
        <w:pageBreakBefore w:val="0"/>
        <w:wordWrap/>
        <w:topLinePunct w:val="0"/>
        <w:bidi w:val="0"/>
        <w:spacing w:line="360" w:lineRule="auto"/>
        <w:ind w:left="0" w:leftChars="0" w:right="0" w:rightChars="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（4）雷电引发的火灾</w:t>
      </w:r>
    </w:p>
    <w:p>
      <w:pPr>
        <w:pageBreakBefore w:val="0"/>
        <w:wordWrap/>
        <w:topLinePunct w:val="0"/>
        <w:bidi w:val="0"/>
        <w:spacing w:line="360" w:lineRule="auto"/>
        <w:ind w:left="0" w:leftChars="0" w:right="0" w:rightChars="0"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生产装置、储罐区防雷设计不符合规范要求或防雷设施不完善，不能覆盖应保护的区域，雷击可造成设备设施损坏，导致物料泄漏进而引发火灾爆炸事故发生。</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szCs w:val="24"/>
          <w:highlight w:val="none"/>
          <w:lang w:eastAsia="zh-CN"/>
        </w:rPr>
      </w:pPr>
      <w:r>
        <w:rPr>
          <w:rFonts w:hint="eastAsia" w:ascii="宋体" w:hAnsi="宋体" w:eastAsia="宋体" w:cs="宋体"/>
          <w:snapToGrid w:val="0"/>
          <w:color w:val="auto"/>
          <w:kern w:val="0"/>
          <w:sz w:val="24"/>
          <w:szCs w:val="24"/>
          <w:highlight w:val="none"/>
          <w:lang w:eastAsia="zh-CN"/>
        </w:rPr>
        <w:t>（5）电气火灾</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szCs w:val="24"/>
          <w:highlight w:val="none"/>
          <w:lang w:eastAsia="zh-CN"/>
        </w:rPr>
      </w:pPr>
      <w:r>
        <w:rPr>
          <w:rFonts w:hint="eastAsia" w:ascii="宋体" w:hAnsi="宋体" w:eastAsia="宋体" w:cs="宋体"/>
          <w:snapToGrid w:val="0"/>
          <w:color w:val="auto"/>
          <w:kern w:val="0"/>
          <w:sz w:val="24"/>
          <w:szCs w:val="24"/>
          <w:highlight w:val="none"/>
          <w:lang w:eastAsia="zh-CN"/>
        </w:rPr>
        <w:t>电气火灾爆炸事故是指在具有爆炸性气体、粉尘及可燃物质的环境中因电气原因产生的引燃条件导致发生的火灾爆炸事故。引发电气火灾的原因主要有短路、 过负荷、接触不良、漏电、灯具和电热器具引燃可燃物等。其间接原因有设备缺陷、操作失误、安装及设计施工中因考虑不周而存在的隐患等；直接原因是电气运行过程中电流产生的热量以及所发生的电弧、电火花等引燃环境中的爆炸性气体及可燃物质。</w:t>
      </w:r>
    </w:p>
    <w:p>
      <w:pPr>
        <w:pStyle w:val="5"/>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eastAsia="zh-CN"/>
        </w:rPr>
      </w:pPr>
      <w:bookmarkStart w:id="308" w:name="_Toc27288"/>
      <w:r>
        <w:rPr>
          <w:rFonts w:hint="eastAsia" w:ascii="宋体" w:hAnsi="宋体" w:eastAsia="宋体" w:cs="宋体"/>
          <w:color w:val="auto"/>
          <w:highlight w:val="none"/>
          <w:lang w:val="en-US" w:eastAsia="zh-CN"/>
        </w:rPr>
        <w:t>5.2.2</w:t>
      </w:r>
      <w:r>
        <w:rPr>
          <w:rFonts w:hint="eastAsia" w:ascii="宋体" w:hAnsi="宋体" w:eastAsia="宋体" w:cs="宋体"/>
          <w:color w:val="auto"/>
          <w:highlight w:val="none"/>
          <w:lang w:eastAsia="zh-CN"/>
        </w:rPr>
        <w:t>储运过程中突发环境事件情景分析</w:t>
      </w:r>
      <w:bookmarkEnd w:id="308"/>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该项目的原料为危险化学品，对其运输应遵守危险化学品的有关规定。产品的运输主要靠公路运输。因此，对本项目产品运输环境风险概率分析，主要考虑公路危险品运输风险。</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根据公路危险品运输事故统计结果，危险品运输车辆事故次数为 4.345~12.417次/a。一般来说，交通事故中一般事故占多数，重大事故次之，特大事故更少。就危险品运输车辆的交通事故而言，运送易燃品的交通事故，直接的后果可能是引起火灾或爆炸，或者可能损坏江河大桥的构筑物，致使出现一时的交通堵塞。但这种情况毕竟是局部的，且持续的时间是短暂的。该项目危险品运输风险事故概率较低。</w:t>
      </w:r>
    </w:p>
    <w:p>
      <w:pPr>
        <w:pStyle w:val="5"/>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eastAsia="zh-CN"/>
        </w:rPr>
      </w:pPr>
      <w:bookmarkStart w:id="309" w:name="_Toc21658"/>
      <w:r>
        <w:rPr>
          <w:rFonts w:hint="eastAsia" w:ascii="宋体" w:hAnsi="宋体" w:eastAsia="宋体" w:cs="宋体"/>
          <w:color w:val="auto"/>
          <w:highlight w:val="none"/>
          <w:lang w:val="en-US" w:eastAsia="zh-CN"/>
        </w:rPr>
        <w:t>5.2.3</w:t>
      </w:r>
      <w:r>
        <w:rPr>
          <w:rFonts w:hint="eastAsia" w:ascii="宋体" w:hAnsi="宋体" w:eastAsia="宋体" w:cs="宋体"/>
          <w:color w:val="auto"/>
          <w:highlight w:val="none"/>
          <w:lang w:eastAsia="zh-CN"/>
        </w:rPr>
        <w:t>生产装置停车、检修过程突发环境事件情景分析</w:t>
      </w:r>
      <w:bookmarkEnd w:id="309"/>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在本企业的装卸、检修过程中如违反安全作业规程，或管理不善，或容器、包装有质量缺陷、受损伤等原因存在着火灾、爆炸，中毒窒息的危险。</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设备、管道检修时不执行动火检修制度，未办理动火证、检修证、未清洗置换彻底、违章检修，可能因违章动火引发火灾爆炸事故。</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设备、管道检修时，若被检修的设备、管道未加盲板与系统进行有效隔离，在检修过程中，作业人员误操作打开了阀门或阀门内漏，有毒物料泄漏，极易造成人员中毒。</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在密闭空间内从事检修作业，存在缺氧、高温、有毒有害、易燃易爆气体等危险有害因素，若未办理相关作业证进行作业、安全措施不到位、作业时无人监护，极易发生火灾、爆炸并可能造成人员伤亡。</w:t>
      </w:r>
    </w:p>
    <w:p>
      <w:pPr>
        <w:pStyle w:val="5"/>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eastAsia="zh-CN"/>
        </w:rPr>
      </w:pPr>
      <w:bookmarkStart w:id="310" w:name="_Toc30942"/>
      <w:r>
        <w:rPr>
          <w:rFonts w:hint="eastAsia" w:ascii="宋体" w:hAnsi="宋体" w:eastAsia="宋体" w:cs="宋体"/>
          <w:color w:val="auto"/>
          <w:highlight w:val="none"/>
          <w:lang w:val="en-US" w:eastAsia="zh-CN"/>
        </w:rPr>
        <w:t>5.2.4</w:t>
      </w:r>
      <w:r>
        <w:rPr>
          <w:rFonts w:hint="eastAsia" w:ascii="宋体" w:hAnsi="宋体" w:eastAsia="宋体" w:cs="宋体"/>
          <w:color w:val="auto"/>
          <w:highlight w:val="none"/>
          <w:lang w:eastAsia="zh-CN"/>
        </w:rPr>
        <w:t>公用工程突发环境事件情景分析</w:t>
      </w:r>
      <w:bookmarkEnd w:id="310"/>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（1）厂区内违章进行动土作业，造成地埋敷设的电气线路、供水管线及工艺管线损坏，导致工艺停电、停水或是易燃、可燃物料泄漏等，有引发火灾爆炸的危险。</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（2）企业配套配电室，内设变压器、高低压供配电设备，若供配电系统存在以下不安全因素，可能引发火灾爆炸事故发生：</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a.变配电室若无避雷装置或避雷接地装置不健全，有遭雷击危险，或能引发变压器发生火灾，导致突发停电事故，进而引发生产系统火灾爆炸事故发生。</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b.变配电室若无挡鼠板，门窗及通风气孔无防小动物网，变配电室电缆入口未堵塞，电缆沟未用细砂填实，可能造成供电线路因动物窜入、咬伤等引发短路、跳闸故障而突发停电，进而引发生产装置发生火灾爆炸事故。</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c.直埋式地下电缆深度在冻土层以上、没有填细砂层进行保护，会受到冻土和鼠咬的破坏，造成停电，进而引发火灾爆炸事故。</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d.电缆沟未用细砂填实，生产系统的助燃气体在电缆沟积聚，在一定条件下遇火源能引发火灾爆炸事故发生。</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e.因变压器油是可燃液体，变压器运行时会产生热量，绝缘可能老化，故变压器本身存在火灾隐患。变压器一旦发生故障，产生的电弧可使箱体内绝缘油的温度、压力升高导致绝缘油喷出甚至引起箱体爆裂；同时电弧可引起绝缘油着火，若无有效的防护措施，火势会发展很快，导致严重的后果。</w:t>
      </w:r>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低压配电系统中漏电产生的电流和电压等均可引起火灾。若因安装质量差、有酸碱腐蚀性的环境中电线明敷、设备未做保护直接安装、布线时绝缘层损伤、导线接头连接质量和绝缘包扎质量不符合要求等原因导致低压配电系统发生漏电，可因产生火花、电弧、过热高温等而造成火灾。</w:t>
      </w:r>
    </w:p>
    <w:p>
      <w:pPr>
        <w:pStyle w:val="5"/>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eastAsia="zh-CN"/>
        </w:rPr>
      </w:pPr>
      <w:bookmarkStart w:id="311" w:name="_Toc15399"/>
      <w:r>
        <w:rPr>
          <w:rFonts w:hint="eastAsia" w:ascii="宋体" w:hAnsi="宋体" w:eastAsia="宋体" w:cs="宋体"/>
          <w:color w:val="auto"/>
          <w:highlight w:val="none"/>
          <w:lang w:val="en-US" w:eastAsia="zh-CN"/>
        </w:rPr>
        <w:t>5.2.5</w:t>
      </w:r>
      <w:r>
        <w:rPr>
          <w:rFonts w:hint="eastAsia" w:ascii="宋体" w:hAnsi="宋体" w:eastAsia="宋体" w:cs="宋体"/>
          <w:color w:val="auto"/>
          <w:highlight w:val="none"/>
          <w:lang w:eastAsia="zh-CN"/>
        </w:rPr>
        <w:t>其他突发环境事件情景分析</w:t>
      </w:r>
      <w:bookmarkEnd w:id="311"/>
    </w:p>
    <w:p>
      <w:pPr>
        <w:pageBreakBefore w:val="0"/>
        <w:wordWrap/>
        <w:topLinePunct w:val="0"/>
        <w:bidi w:val="0"/>
        <w:adjustRightInd w:val="0"/>
        <w:spacing w:line="360" w:lineRule="auto"/>
        <w:ind w:left="0" w:leftChars="0" w:right="0" w:rightChars="0" w:firstLine="480" w:firstLineChars="200"/>
        <w:rPr>
          <w:rFonts w:hint="eastAsia" w:ascii="宋体" w:hAnsi="宋体" w:eastAsia="宋体" w:cs="宋体"/>
          <w:snapToGrid w:val="0"/>
          <w:color w:val="auto"/>
          <w:kern w:val="0"/>
          <w:sz w:val="24"/>
          <w:highlight w:val="none"/>
          <w:lang w:eastAsia="zh-CN"/>
        </w:rPr>
      </w:pPr>
      <w:r>
        <w:rPr>
          <w:rFonts w:hint="eastAsia" w:ascii="宋体" w:hAnsi="宋体" w:eastAsia="宋体" w:cs="宋体"/>
          <w:snapToGrid w:val="0"/>
          <w:color w:val="auto"/>
          <w:kern w:val="0"/>
          <w:sz w:val="24"/>
          <w:highlight w:val="none"/>
          <w:lang w:eastAsia="zh-CN"/>
        </w:rPr>
        <w:t>企业的违法排污、各种自然灾害、极端天气或不利气象条件等都可能会造成废气未经处理直接超标排放，对大气环境及附近的居民造成较大影响。</w:t>
      </w:r>
    </w:p>
    <w:p>
      <w:pPr>
        <w:pStyle w:val="4"/>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val="zh-CN" w:eastAsia="zh-CN"/>
        </w:rPr>
      </w:pPr>
      <w:bookmarkStart w:id="312" w:name="_Toc7485"/>
      <w:bookmarkStart w:id="313" w:name="_Toc70324653"/>
      <w:bookmarkStart w:id="314" w:name="_Toc32591"/>
      <w:bookmarkStart w:id="315" w:name="_Toc20722"/>
      <w:r>
        <w:rPr>
          <w:rFonts w:hint="eastAsia" w:ascii="宋体" w:hAnsi="宋体" w:eastAsia="宋体" w:cs="宋体"/>
          <w:color w:val="auto"/>
          <w:highlight w:val="none"/>
          <w:lang w:val="en-US" w:eastAsia="zh-CN"/>
        </w:rPr>
        <w:t>5.3</w:t>
      </w:r>
      <w:r>
        <w:rPr>
          <w:rFonts w:hint="eastAsia" w:ascii="宋体" w:hAnsi="宋体" w:eastAsia="宋体" w:cs="宋体"/>
          <w:color w:val="auto"/>
          <w:highlight w:val="none"/>
          <w:lang w:val="zh-CN" w:eastAsia="zh-CN"/>
        </w:rPr>
        <w:t>突发环境事件情景源强分析</w:t>
      </w:r>
      <w:bookmarkEnd w:id="312"/>
      <w:bookmarkEnd w:id="313"/>
      <w:bookmarkEnd w:id="314"/>
      <w:bookmarkEnd w:id="315"/>
    </w:p>
    <w:p>
      <w:pPr>
        <w:pStyle w:val="5"/>
        <w:bidi w:val="0"/>
        <w:rPr>
          <w:rFonts w:hint="default"/>
        </w:rPr>
      </w:pPr>
      <w:bookmarkStart w:id="316" w:name="_Toc1944"/>
      <w:r>
        <w:rPr>
          <w:rFonts w:hint="eastAsia"/>
          <w:lang w:val="en-US" w:eastAsia="zh-CN"/>
        </w:rPr>
        <w:t>5.3.1</w:t>
      </w:r>
      <w:r>
        <w:rPr>
          <w:rFonts w:hint="default"/>
        </w:rPr>
        <w:t>原油储罐火灾次生风险</w:t>
      </w:r>
      <w:r>
        <w:rPr>
          <w:rFonts w:hint="eastAsia"/>
          <w:lang w:val="en-US" w:eastAsia="zh-CN"/>
        </w:rPr>
        <w:t>源强</w:t>
      </w:r>
      <w:r>
        <w:rPr>
          <w:rFonts w:hint="default"/>
        </w:rPr>
        <w:t>分析</w:t>
      </w:r>
      <w:bookmarkEnd w:id="316"/>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asciiTheme="minorEastAsia" w:hAnsiTheme="minorEastAsia"/>
          <w:sz w:val="24"/>
        </w:rPr>
      </w:pPr>
      <w:r>
        <w:rPr>
          <w:rFonts w:asciiTheme="minorEastAsia" w:hAnsiTheme="minorEastAsia"/>
          <w:sz w:val="24"/>
        </w:rPr>
        <w:t>原油储罐泄漏后燃烧速度取决于其蒸发速度，在常温下，其蒸气压很高，因此有火星、灼热物体等靠近时便能着火，随后火焰沿液体表面迅速蔓延，以液体燃烧速度表征。</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本项目选择1个100000m</w:t>
      </w:r>
      <w:r>
        <w:rPr>
          <w:rFonts w:hint="default" w:ascii="Times New Roman" w:hAnsi="Times New Roman" w:cs="Times New Roman"/>
          <w:sz w:val="24"/>
          <w:vertAlign w:val="superscript"/>
        </w:rPr>
        <w:t>3</w:t>
      </w:r>
      <w:r>
        <w:rPr>
          <w:rFonts w:hint="default" w:ascii="Times New Roman" w:hAnsi="Times New Roman" w:cs="Times New Roman"/>
          <w:sz w:val="24"/>
        </w:rPr>
        <w:t>的原油储罐发生罐底泄露，罐底溢出原油覆盖整个防火堤隔堤内，并引起隔堤面积内的大面积火灾燃烧，其液池面积为（146m×136m-1×3.14×（80/2）</w:t>
      </w:r>
      <w:r>
        <w:rPr>
          <w:rFonts w:hint="default" w:ascii="Times New Roman" w:hAnsi="Times New Roman" w:cs="Times New Roman"/>
          <w:sz w:val="24"/>
          <w:vertAlign w:val="superscript"/>
        </w:rPr>
        <w:t>2</w:t>
      </w:r>
      <w:r>
        <w:rPr>
          <w:rFonts w:hint="default" w:ascii="Times New Roman" w:hAnsi="Times New Roman" w:cs="Times New Roman"/>
          <w:sz w:val="24"/>
        </w:rPr>
        <w:t>m</w:t>
      </w:r>
      <w:r>
        <w:rPr>
          <w:rFonts w:hint="default" w:ascii="Times New Roman" w:hAnsi="Times New Roman" w:cs="Times New Roman"/>
          <w:sz w:val="24"/>
          <w:vertAlign w:val="superscript"/>
        </w:rPr>
        <w:t>2</w:t>
      </w:r>
      <w:r>
        <w:rPr>
          <w:rFonts w:hint="default" w:ascii="Times New Roman" w:hAnsi="Times New Roman" w:cs="Times New Roman"/>
          <w:sz w:val="24"/>
        </w:rPr>
        <w:t>）=14791 m</w:t>
      </w:r>
      <w:r>
        <w:rPr>
          <w:rFonts w:hint="default" w:ascii="Times New Roman" w:hAnsi="Times New Roman" w:cs="Times New Roman"/>
          <w:sz w:val="24"/>
          <w:vertAlign w:val="superscript"/>
        </w:rPr>
        <w:t>2</w:t>
      </w:r>
      <w:r>
        <w:rPr>
          <w:rFonts w:hint="default" w:ascii="Times New Roman" w:hAnsi="Times New Roman" w:cs="Times New Roman"/>
          <w:sz w:val="24"/>
        </w:rPr>
        <w:t>，等效半径为63m，原油密度为850kg/m</w:t>
      </w:r>
      <w:r>
        <w:rPr>
          <w:rFonts w:hint="default" w:ascii="Times New Roman" w:hAnsi="Times New Roman" w:cs="Times New Roman"/>
          <w:sz w:val="24"/>
          <w:vertAlign w:val="superscript"/>
        </w:rPr>
        <w:t>3</w:t>
      </w:r>
      <w:r>
        <w:rPr>
          <w:rFonts w:hint="default" w:ascii="Times New Roman" w:hAnsi="Times New Roman" w:cs="Times New Roman"/>
          <w:sz w:val="24"/>
        </w:rPr>
        <w:t>，平均含硫量为0.11%。</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根据《油库安全技术》（王丰，中国石化出版社，2003）确定，原油燃烧直线速度为8.46cm/h；据此核算出原油储罐发生事故后的原油燃烧速率为1251.3m</w:t>
      </w:r>
      <w:r>
        <w:rPr>
          <w:rFonts w:hint="default" w:ascii="Times New Roman" w:hAnsi="Times New Roman" w:cs="Times New Roman"/>
          <w:sz w:val="24"/>
          <w:vertAlign w:val="superscript"/>
        </w:rPr>
        <w:t>3</w:t>
      </w:r>
      <w:r>
        <w:rPr>
          <w:rFonts w:hint="default" w:ascii="Times New Roman" w:hAnsi="Times New Roman" w:cs="Times New Roman"/>
          <w:sz w:val="24"/>
        </w:rPr>
        <w:t>/h，消耗燃料量为295.45 kg/s。</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根据《环境工程设计基础》（化学出版社，2002），液体燃料燃烧产生CO的计算公式为：</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G</w:t>
      </w:r>
      <w:r>
        <w:rPr>
          <w:rFonts w:hint="default" w:ascii="Times New Roman" w:hAnsi="Times New Roman" w:cs="Times New Roman"/>
          <w:sz w:val="24"/>
          <w:vertAlign w:val="subscript"/>
        </w:rPr>
        <w:t>CO</w:t>
      </w:r>
      <w:r>
        <w:rPr>
          <w:rFonts w:hint="default" w:ascii="Times New Roman" w:hAnsi="Times New Roman" w:cs="Times New Roman"/>
          <w:sz w:val="24"/>
        </w:rPr>
        <w:t>=2.33B·C·Q</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式中：</w:t>
      </w:r>
      <w:r>
        <w:rPr>
          <w:rFonts w:hint="default" w:ascii="Times New Roman" w:hAnsi="Times New Roman" w:cs="Times New Roman"/>
          <w:i/>
          <w:sz w:val="24"/>
        </w:rPr>
        <w:t>G</w:t>
      </w:r>
      <w:r>
        <w:rPr>
          <w:rFonts w:hint="default" w:ascii="Times New Roman" w:hAnsi="Times New Roman" w:cs="Times New Roman"/>
          <w:i/>
          <w:sz w:val="24"/>
          <w:vertAlign w:val="subscript"/>
        </w:rPr>
        <w:t>co</w:t>
      </w:r>
      <w:r>
        <w:rPr>
          <w:rFonts w:hint="default" w:ascii="Times New Roman" w:hAnsi="Times New Roman" w:cs="Times New Roman"/>
          <w:i/>
          <w:sz w:val="24"/>
        </w:rPr>
        <w:t xml:space="preserve"> </w:t>
      </w:r>
      <w:r>
        <w:rPr>
          <w:rFonts w:hint="default" w:ascii="Times New Roman" w:hAnsi="Times New Roman" w:cs="Times New Roman"/>
          <w:sz w:val="24"/>
        </w:rPr>
        <w:t>— CO产生量，kg/s；</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i/>
          <w:sz w:val="24"/>
        </w:rPr>
        <w:t>B</w:t>
      </w:r>
      <w:r>
        <w:rPr>
          <w:rFonts w:hint="default" w:ascii="Times New Roman" w:hAnsi="Times New Roman" w:cs="Times New Roman"/>
          <w:sz w:val="24"/>
        </w:rPr>
        <w:t xml:space="preserve"> — 消耗燃料量，kg/s；</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i/>
          <w:sz w:val="24"/>
        </w:rPr>
        <w:t xml:space="preserve"> C </w:t>
      </w:r>
      <w:r>
        <w:rPr>
          <w:rFonts w:hint="default" w:ascii="Times New Roman" w:hAnsi="Times New Roman" w:cs="Times New Roman"/>
          <w:sz w:val="24"/>
        </w:rPr>
        <w:t>— 燃料含碳量，取80.0%；</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i/>
          <w:sz w:val="24"/>
        </w:rPr>
        <w:t xml:space="preserve">Q </w:t>
      </w:r>
      <w:r>
        <w:rPr>
          <w:rFonts w:hint="default" w:ascii="Times New Roman" w:hAnsi="Times New Roman" w:cs="Times New Roman"/>
          <w:sz w:val="24"/>
        </w:rPr>
        <w:t>— 不完全燃烧值，取8.3%；</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因此，</w:t>
      </w:r>
      <w:r>
        <w:rPr>
          <w:rFonts w:hint="default" w:ascii="Times New Roman" w:hAnsi="Times New Roman" w:cs="Times New Roman"/>
          <w:i/>
          <w:sz w:val="24"/>
        </w:rPr>
        <w:t>G</w:t>
      </w:r>
      <w:r>
        <w:rPr>
          <w:rFonts w:hint="default" w:ascii="Times New Roman" w:hAnsi="Times New Roman" w:cs="Times New Roman"/>
          <w:i/>
          <w:sz w:val="24"/>
          <w:vertAlign w:val="subscript"/>
        </w:rPr>
        <w:t>CO</w:t>
      </w:r>
      <w:r>
        <w:rPr>
          <w:rFonts w:hint="default" w:ascii="Times New Roman" w:hAnsi="Times New Roman" w:cs="Times New Roman"/>
          <w:sz w:val="24"/>
        </w:rPr>
        <w:t>的产生量为=2.33×295.45×80%×8.3%=45.62kg/s</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SO</w:t>
      </w:r>
      <w:r>
        <w:rPr>
          <w:rFonts w:hint="default" w:ascii="Times New Roman" w:hAnsi="Times New Roman" w:cs="Times New Roman"/>
          <w:sz w:val="24"/>
          <w:vertAlign w:val="subscript"/>
        </w:rPr>
        <w:t>2</w:t>
      </w:r>
      <w:r>
        <w:rPr>
          <w:rFonts w:hint="default" w:ascii="Times New Roman" w:hAnsi="Times New Roman" w:cs="Times New Roman"/>
          <w:sz w:val="24"/>
        </w:rPr>
        <w:t>的产生量为 G</w:t>
      </w:r>
      <w:r>
        <w:rPr>
          <w:rFonts w:hint="default" w:ascii="Times New Roman" w:hAnsi="Times New Roman" w:cs="Times New Roman"/>
          <w:sz w:val="24"/>
          <w:vertAlign w:val="subscript"/>
        </w:rPr>
        <w:t>SO2</w:t>
      </w:r>
      <w:r>
        <w:rPr>
          <w:rFonts w:hint="default" w:ascii="Times New Roman" w:hAnsi="Times New Roman" w:cs="Times New Roman"/>
          <w:sz w:val="24"/>
        </w:rPr>
        <w:t>=2B·S</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因此，</w:t>
      </w:r>
      <w:r>
        <w:rPr>
          <w:rFonts w:hint="default" w:ascii="Times New Roman" w:hAnsi="Times New Roman" w:cs="Times New Roman"/>
          <w:i/>
          <w:sz w:val="24"/>
        </w:rPr>
        <w:t>G</w:t>
      </w:r>
      <w:r>
        <w:rPr>
          <w:rFonts w:hint="default" w:ascii="Times New Roman" w:hAnsi="Times New Roman" w:cs="Times New Roman"/>
          <w:i/>
          <w:sz w:val="24"/>
          <w:vertAlign w:val="subscript"/>
        </w:rPr>
        <w:t>SO2</w:t>
      </w:r>
      <w:r>
        <w:rPr>
          <w:rFonts w:hint="default" w:ascii="Times New Roman" w:hAnsi="Times New Roman" w:cs="Times New Roman"/>
          <w:sz w:val="24"/>
        </w:rPr>
        <w:t>的产生量为=2×295.45×0.11%=0.65kg/s</w:t>
      </w:r>
    </w:p>
    <w:p>
      <w:pPr>
        <w:keepNext w:val="0"/>
        <w:keepLines w:val="0"/>
        <w:pageBreakBefore w:val="0"/>
        <w:widowControl w:val="0"/>
        <w:kinsoku/>
        <w:wordWrap/>
        <w:overflowPunct/>
        <w:topLinePunct w:val="0"/>
        <w:autoSpaceDE/>
        <w:autoSpaceDN/>
        <w:bidi w:val="0"/>
        <w:adjustRightIn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经计算，原油储罐火灾爆炸事故源强数据见表</w:t>
      </w:r>
      <w:r>
        <w:rPr>
          <w:rFonts w:hint="default" w:ascii="Times New Roman" w:hAnsi="Times New Roman" w:cs="Times New Roman"/>
          <w:sz w:val="24"/>
          <w:lang w:val="en-US" w:eastAsia="zh-CN"/>
        </w:rPr>
        <w:t>4.2-1</w:t>
      </w:r>
      <w:r>
        <w:rPr>
          <w:rFonts w:hint="default" w:ascii="Times New Roman" w:hAnsi="Times New Roman" w:cs="Times New Roman"/>
          <w:sz w:val="24"/>
        </w:rPr>
        <w:t>。</w:t>
      </w:r>
    </w:p>
    <w:p>
      <w:pPr>
        <w:pStyle w:val="19"/>
        <w:keepNext w:val="0"/>
        <w:keepLines w:val="0"/>
        <w:pageBreakBefore w:val="0"/>
        <w:widowControl w:val="0"/>
        <w:kinsoku/>
        <w:wordWrap/>
        <w:overflowPunct/>
        <w:topLinePunct w:val="0"/>
        <w:autoSpaceDE/>
        <w:autoSpaceDN/>
        <w:bidi w:val="0"/>
        <w:adjustRightInd/>
        <w:snapToGrid w:val="0"/>
        <w:spacing w:after="0" w:line="560" w:lineRule="exact"/>
        <w:ind w:firstLine="442" w:firstLineChars="200"/>
        <w:jc w:val="center"/>
        <w:textAlignment w:val="auto"/>
        <w:rPr>
          <w:rFonts w:hint="default" w:ascii="Times New Roman" w:hAnsi="Times New Roman" w:cs="Times New Roman"/>
          <w:b/>
          <w:sz w:val="22"/>
        </w:rPr>
      </w:pPr>
      <w:r>
        <w:rPr>
          <w:rFonts w:hint="default" w:ascii="Times New Roman" w:hAnsi="Times New Roman" w:cs="Times New Roman"/>
          <w:b/>
          <w:sz w:val="22"/>
        </w:rPr>
        <w:t>表</w:t>
      </w:r>
      <w:r>
        <w:rPr>
          <w:rFonts w:hint="eastAsia" w:ascii="Times New Roman" w:hAnsi="Times New Roman" w:cs="Times New Roman"/>
          <w:b/>
          <w:sz w:val="22"/>
          <w:lang w:val="en-US" w:eastAsia="zh-CN"/>
        </w:rPr>
        <w:t xml:space="preserve">5.3-1 </w:t>
      </w:r>
      <w:r>
        <w:rPr>
          <w:rFonts w:hint="default" w:ascii="Times New Roman" w:hAnsi="Times New Roman" w:cs="Times New Roman"/>
          <w:b/>
          <w:sz w:val="22"/>
        </w:rPr>
        <w:t xml:space="preserve">  储罐发生火灾爆炸事故源强分析</w:t>
      </w:r>
    </w:p>
    <w:tbl>
      <w:tblPr>
        <w:tblStyle w:val="21"/>
        <w:tblW w:w="0" w:type="auto"/>
        <w:jc w:val="center"/>
        <w:tblBorders>
          <w:top w:val="single" w:color="auto" w:sz="12" w:space="0"/>
          <w:left w:val="single" w:color="auto" w:sz="8" w:space="0"/>
          <w:bottom w:val="single" w:color="auto" w:sz="12" w:space="0"/>
          <w:right w:val="single" w:color="auto" w:sz="8" w:space="0"/>
          <w:insideH w:val="single" w:color="auto" w:sz="4" w:space="0"/>
          <w:insideV w:val="single" w:color="auto" w:sz="6" w:space="0"/>
        </w:tblBorders>
        <w:tblLayout w:type="fixed"/>
        <w:tblCellMar>
          <w:top w:w="0" w:type="dxa"/>
          <w:left w:w="108" w:type="dxa"/>
          <w:bottom w:w="0" w:type="dxa"/>
          <w:right w:w="108" w:type="dxa"/>
        </w:tblCellMar>
      </w:tblPr>
      <w:tblGrid>
        <w:gridCol w:w="1442"/>
        <w:gridCol w:w="1444"/>
        <w:gridCol w:w="1180"/>
        <w:gridCol w:w="1400"/>
        <w:gridCol w:w="1110"/>
        <w:gridCol w:w="1140"/>
        <w:gridCol w:w="806"/>
      </w:tblGrid>
      <w:tr>
        <w:tblPrEx>
          <w:tblBorders>
            <w:top w:val="single" w:color="auto" w:sz="12" w:space="0"/>
            <w:left w:val="single" w:color="auto" w:sz="8" w:space="0"/>
            <w:bottom w:val="single" w:color="auto" w:sz="12"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227" w:hRule="atLeast"/>
          <w:jc w:val="center"/>
        </w:trPr>
        <w:tc>
          <w:tcPr>
            <w:tcW w:w="1442" w:type="dxa"/>
            <w:vMerge w:val="restart"/>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名称</w:t>
            </w:r>
          </w:p>
        </w:tc>
        <w:tc>
          <w:tcPr>
            <w:tcW w:w="1444" w:type="dxa"/>
            <w:vMerge w:val="restart"/>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面源污染源性质</w:t>
            </w:r>
          </w:p>
        </w:tc>
        <w:tc>
          <w:tcPr>
            <w:tcW w:w="1180" w:type="dxa"/>
            <w:vMerge w:val="restart"/>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源强高度</w:t>
            </w:r>
          </w:p>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m</w:t>
            </w:r>
          </w:p>
        </w:tc>
        <w:tc>
          <w:tcPr>
            <w:tcW w:w="1400" w:type="dxa"/>
            <w:vMerge w:val="restart"/>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燃烧直线速度cm/h</w:t>
            </w:r>
          </w:p>
        </w:tc>
        <w:tc>
          <w:tcPr>
            <w:tcW w:w="2250" w:type="dxa"/>
            <w:gridSpan w:val="2"/>
            <w:tcBorders>
              <w:tl2br w:val="nil"/>
              <w:tr2bl w:val="nil"/>
            </w:tcBorders>
            <w:vAlign w:val="center"/>
          </w:tcPr>
          <w:p>
            <w:pPr>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污染物排放速率kg/s</w:t>
            </w:r>
          </w:p>
        </w:tc>
        <w:tc>
          <w:tcPr>
            <w:tcW w:w="806" w:type="dxa"/>
            <w:vMerge w:val="restart"/>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排放</w:t>
            </w:r>
          </w:p>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规律</w:t>
            </w: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227" w:hRule="atLeast"/>
          <w:jc w:val="center"/>
        </w:trPr>
        <w:tc>
          <w:tcPr>
            <w:tcW w:w="1442" w:type="dxa"/>
            <w:vMerge w:val="continue"/>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p>
        </w:tc>
        <w:tc>
          <w:tcPr>
            <w:tcW w:w="1444" w:type="dxa"/>
            <w:vMerge w:val="continue"/>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p>
        </w:tc>
        <w:tc>
          <w:tcPr>
            <w:tcW w:w="1180" w:type="dxa"/>
            <w:vMerge w:val="continue"/>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p>
        </w:tc>
        <w:tc>
          <w:tcPr>
            <w:tcW w:w="1400" w:type="dxa"/>
            <w:vMerge w:val="continue"/>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p>
        </w:tc>
        <w:tc>
          <w:tcPr>
            <w:tcW w:w="1110" w:type="dxa"/>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SO</w:t>
            </w:r>
            <w:r>
              <w:rPr>
                <w:rFonts w:hint="default" w:ascii="Times New Roman" w:hAnsi="Times New Roman" w:cs="Times New Roman"/>
                <w:kern w:val="0"/>
                <w:sz w:val="21"/>
                <w:szCs w:val="21"/>
                <w:vertAlign w:val="subscript"/>
              </w:rPr>
              <w:t>2</w:t>
            </w:r>
          </w:p>
        </w:tc>
        <w:tc>
          <w:tcPr>
            <w:tcW w:w="1140" w:type="dxa"/>
            <w:tcBorders>
              <w:tl2br w:val="nil"/>
              <w:tr2bl w:val="nil"/>
            </w:tcBorders>
            <w:vAlign w:val="center"/>
          </w:tcPr>
          <w:p>
            <w:pPr>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CO</w:t>
            </w:r>
          </w:p>
        </w:tc>
        <w:tc>
          <w:tcPr>
            <w:tcW w:w="806" w:type="dxa"/>
            <w:vMerge w:val="continue"/>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p>
        </w:tc>
      </w:tr>
      <w:tr>
        <w:tblPrEx>
          <w:tblBorders>
            <w:top w:val="single" w:color="auto" w:sz="12" w:space="0"/>
            <w:left w:val="single" w:color="auto" w:sz="8" w:space="0"/>
            <w:bottom w:val="single" w:color="auto" w:sz="12" w:space="0"/>
            <w:right w:val="single" w:color="auto" w:sz="8" w:space="0"/>
            <w:insideH w:val="single" w:color="auto" w:sz="4" w:space="0"/>
            <w:insideV w:val="single" w:color="auto" w:sz="6" w:space="0"/>
          </w:tblBorders>
          <w:tblCellMar>
            <w:top w:w="0" w:type="dxa"/>
            <w:left w:w="108" w:type="dxa"/>
            <w:bottom w:w="0" w:type="dxa"/>
            <w:right w:w="108" w:type="dxa"/>
          </w:tblCellMar>
        </w:tblPrEx>
        <w:trPr>
          <w:trHeight w:val="227" w:hRule="atLeast"/>
          <w:jc w:val="center"/>
        </w:trPr>
        <w:tc>
          <w:tcPr>
            <w:tcW w:w="1442" w:type="dxa"/>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1个100000m</w:t>
            </w:r>
            <w:r>
              <w:rPr>
                <w:rFonts w:hint="default" w:ascii="Times New Roman" w:hAnsi="Times New Roman" w:cs="Times New Roman"/>
                <w:kern w:val="0"/>
                <w:sz w:val="21"/>
                <w:szCs w:val="21"/>
                <w:vertAlign w:val="superscript"/>
              </w:rPr>
              <w:t>3</w:t>
            </w:r>
            <w:r>
              <w:rPr>
                <w:rFonts w:hint="default" w:ascii="Times New Roman" w:hAnsi="Times New Roman" w:cs="Times New Roman"/>
                <w:kern w:val="0"/>
                <w:sz w:val="21"/>
                <w:szCs w:val="21"/>
              </w:rPr>
              <w:t>原油储罐</w:t>
            </w:r>
          </w:p>
        </w:tc>
        <w:tc>
          <w:tcPr>
            <w:tcW w:w="1444" w:type="dxa"/>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R=63</w:t>
            </w:r>
            <w:r>
              <w:rPr>
                <w:rFonts w:hint="default" w:ascii="Times New Roman" w:hAnsi="Times New Roman" w:cs="Times New Roman"/>
                <w:sz w:val="21"/>
                <w:szCs w:val="21"/>
              </w:rPr>
              <w:t>m</w:t>
            </w:r>
          </w:p>
        </w:tc>
        <w:tc>
          <w:tcPr>
            <w:tcW w:w="1180" w:type="dxa"/>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2.0m</w:t>
            </w:r>
          </w:p>
        </w:tc>
        <w:tc>
          <w:tcPr>
            <w:tcW w:w="1400" w:type="dxa"/>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8.46</w:t>
            </w:r>
          </w:p>
        </w:tc>
        <w:tc>
          <w:tcPr>
            <w:tcW w:w="1110" w:type="dxa"/>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0.65</w:t>
            </w:r>
          </w:p>
        </w:tc>
        <w:tc>
          <w:tcPr>
            <w:tcW w:w="1140" w:type="dxa"/>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45.62</w:t>
            </w:r>
          </w:p>
        </w:tc>
        <w:tc>
          <w:tcPr>
            <w:tcW w:w="806" w:type="dxa"/>
            <w:tcBorders>
              <w:tl2br w:val="nil"/>
              <w:tr2bl w:val="nil"/>
            </w:tcBorders>
            <w:vAlign w:val="center"/>
          </w:tcPr>
          <w:p>
            <w:pPr>
              <w:widowControl/>
              <w:spacing w:line="240" w:lineRule="auto"/>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连续</w:t>
            </w:r>
          </w:p>
        </w:tc>
      </w:tr>
    </w:tbl>
    <w:p>
      <w:pPr>
        <w:pStyle w:val="5"/>
        <w:bidi w:val="0"/>
        <w:rPr>
          <w:rFonts w:hint="default"/>
        </w:rPr>
      </w:pPr>
      <w:bookmarkStart w:id="317" w:name="_Toc405278293"/>
      <w:bookmarkStart w:id="318" w:name="_Toc13406"/>
      <w:bookmarkStart w:id="319" w:name="_Toc22342"/>
      <w:r>
        <w:rPr>
          <w:rFonts w:hint="eastAsia"/>
          <w:lang w:val="en-US" w:eastAsia="zh-CN"/>
        </w:rPr>
        <w:t>5.3.2</w:t>
      </w:r>
      <w:r>
        <w:rPr>
          <w:rFonts w:hint="default"/>
        </w:rPr>
        <w:t>苯罐泄露</w:t>
      </w:r>
      <w:r>
        <w:rPr>
          <w:rFonts w:hint="eastAsia"/>
          <w:lang w:val="en-US" w:eastAsia="zh-CN"/>
        </w:rPr>
        <w:t>源强</w:t>
      </w:r>
      <w:r>
        <w:rPr>
          <w:rFonts w:hint="default"/>
        </w:rPr>
        <w:t>分析</w:t>
      </w:r>
      <w:bookmarkEnd w:id="317"/>
      <w:bookmarkEnd w:id="318"/>
      <w:bookmarkEnd w:id="319"/>
    </w:p>
    <w:p>
      <w:pPr>
        <w:pStyle w:val="7"/>
        <w:keepNext w:val="0"/>
        <w:keepLines w:val="0"/>
        <w:pageBreakBefore w:val="0"/>
        <w:widowControl w:val="0"/>
        <w:kinsoku/>
        <w:wordWrap/>
        <w:overflowPunct/>
        <w:topLinePunct w:val="0"/>
        <w:autoSpaceDE/>
        <w:autoSpaceDN/>
        <w:bidi w:val="0"/>
        <w:spacing w:line="560" w:lineRule="exact"/>
        <w:ind w:firstLine="480"/>
        <w:textAlignment w:val="auto"/>
        <w:rPr>
          <w:rFonts w:hint="default" w:ascii="Times New Roman" w:hAnsi="Times New Roman" w:cs="Times New Roman" w:eastAsiaTheme="minorEastAsia"/>
          <w:sz w:val="24"/>
        </w:rPr>
      </w:pPr>
      <w:r>
        <w:rPr>
          <w:rFonts w:asciiTheme="minorEastAsia" w:hAnsiTheme="minorEastAsia" w:eastAsiaTheme="minorEastAsia"/>
          <w:sz w:val="24"/>
        </w:rPr>
        <w:t>储罐典型泄露通常发生在罐体与外界连接部位，本次评价假定管路系统或储罐阀门损毁导致苯储罐泄露。苯储罐为1000m</w:t>
      </w:r>
      <w:r>
        <w:rPr>
          <w:rFonts w:asciiTheme="minorEastAsia" w:hAnsiTheme="minorEastAsia" w:eastAsiaTheme="minorEastAsia"/>
          <w:sz w:val="24"/>
          <w:vertAlign w:val="superscript"/>
        </w:rPr>
        <w:t>3</w:t>
      </w:r>
      <w:r>
        <w:rPr>
          <w:rFonts w:asciiTheme="minorEastAsia" w:hAnsiTheme="minorEastAsia" w:eastAsiaTheme="minorEastAsia"/>
          <w:sz w:val="24"/>
        </w:rPr>
        <w:t>的内浮顶罐，充满系数为0.90，在苯罐区设置防火堤，</w:t>
      </w:r>
      <w:r>
        <w:rPr>
          <w:rFonts w:asciiTheme="minorEastAsia" w:hAnsiTheme="minorEastAsia" w:eastAsiaTheme="minorEastAsia"/>
          <w:snapToGrid w:val="0"/>
          <w:kern w:val="0"/>
          <w:sz w:val="24"/>
        </w:rPr>
        <w:t>根据《建设项目环境风险评价技术导则》（HJ/T169-</w:t>
      </w:r>
      <w:r>
        <w:rPr>
          <w:rFonts w:hint="eastAsia" w:asciiTheme="minorEastAsia" w:hAnsiTheme="minorEastAsia" w:eastAsiaTheme="minorEastAsia"/>
          <w:snapToGrid w:val="0"/>
          <w:kern w:val="0"/>
          <w:sz w:val="24"/>
        </w:rPr>
        <w:t>2018</w:t>
      </w:r>
      <w:r>
        <w:rPr>
          <w:rFonts w:asciiTheme="minorEastAsia" w:hAnsiTheme="minorEastAsia" w:eastAsiaTheme="minorEastAsia"/>
          <w:snapToGrid w:val="0"/>
          <w:kern w:val="0"/>
          <w:sz w:val="24"/>
        </w:rPr>
        <w:t>），</w:t>
      </w:r>
      <w:r>
        <w:rPr>
          <w:rFonts w:hint="default" w:ascii="Times New Roman" w:hAnsi="Times New Roman" w:cs="Times New Roman" w:eastAsiaTheme="minorEastAsia"/>
          <w:snapToGrid w:val="0"/>
          <w:kern w:val="0"/>
          <w:sz w:val="24"/>
        </w:rPr>
        <w:t>采用如下公式。</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lang w:eastAsia="zh-CN"/>
        </w:rPr>
        <w:t>（</w:t>
      </w:r>
      <w:r>
        <w:rPr>
          <w:rFonts w:hint="default" w:ascii="Times New Roman" w:hAnsi="Times New Roman" w:cs="Times New Roman"/>
          <w:snapToGrid w:val="0"/>
          <w:kern w:val="0"/>
          <w:sz w:val="24"/>
          <w:lang w:val="en-US" w:eastAsia="zh-CN"/>
        </w:rPr>
        <w:t>1</w:t>
      </w:r>
      <w:r>
        <w:rPr>
          <w:rFonts w:hint="default" w:ascii="Times New Roman" w:hAnsi="Times New Roman" w:cs="Times New Roman"/>
          <w:snapToGrid w:val="0"/>
          <w:kern w:val="0"/>
          <w:sz w:val="24"/>
          <w:lang w:eastAsia="zh-CN"/>
        </w:rPr>
        <w:t>）</w:t>
      </w:r>
      <w:r>
        <w:rPr>
          <w:rFonts w:hint="default" w:ascii="Times New Roman" w:hAnsi="Times New Roman" w:cs="Times New Roman"/>
          <w:snapToGrid w:val="0"/>
          <w:kern w:val="0"/>
          <w:sz w:val="24"/>
        </w:rPr>
        <w:t>闪蒸蒸发速率</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Q</w:t>
      </w:r>
      <w:r>
        <w:rPr>
          <w:rFonts w:hint="default" w:ascii="Times New Roman" w:hAnsi="Times New Roman" w:cs="Times New Roman"/>
          <w:snapToGrid w:val="0"/>
          <w:kern w:val="0"/>
          <w:sz w:val="24"/>
          <w:vertAlign w:val="subscript"/>
        </w:rPr>
        <w:t>1</w:t>
      </w:r>
      <w:r>
        <w:rPr>
          <w:rFonts w:hint="default" w:ascii="Times New Roman" w:hAnsi="Times New Roman" w:cs="Times New Roman"/>
          <w:snapToGrid w:val="0"/>
          <w:kern w:val="0"/>
          <w:sz w:val="24"/>
        </w:rPr>
        <w:t>=F·W</w:t>
      </w:r>
      <w:r>
        <w:rPr>
          <w:rFonts w:hint="default" w:ascii="Times New Roman" w:hAnsi="Times New Roman" w:cs="Times New Roman"/>
          <w:snapToGrid w:val="0"/>
          <w:kern w:val="0"/>
          <w:sz w:val="24"/>
          <w:vertAlign w:val="subscript"/>
        </w:rPr>
        <w:t xml:space="preserve">T </w:t>
      </w:r>
      <w:r>
        <w:rPr>
          <w:rFonts w:hint="default" w:ascii="Times New Roman" w:hAnsi="Times New Roman" w:cs="Times New Roman"/>
          <w:snapToGrid w:val="0"/>
          <w:kern w:val="0"/>
          <w:sz w:val="24"/>
        </w:rPr>
        <w:t>/t</w:t>
      </w:r>
      <w:r>
        <w:rPr>
          <w:rFonts w:hint="default" w:ascii="Times New Roman" w:hAnsi="Times New Roman" w:cs="Times New Roman"/>
          <w:snapToGrid w:val="0"/>
          <w:kern w:val="0"/>
          <w:sz w:val="24"/>
          <w:vertAlign w:val="subscript"/>
        </w:rPr>
        <w:t>1</w:t>
      </w:r>
      <w:r>
        <w:rPr>
          <w:rFonts w:hint="default" w:ascii="Times New Roman" w:hAnsi="Times New Roman" w:cs="Times New Roman"/>
          <w:snapToGrid w:val="0"/>
          <w:kern w:val="0"/>
          <w:sz w:val="24"/>
        </w:rPr>
        <w:t xml:space="preserve"> </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式中：</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Q</w:t>
      </w:r>
      <w:r>
        <w:rPr>
          <w:rFonts w:hint="default" w:ascii="Times New Roman" w:hAnsi="Times New Roman" w:cs="Times New Roman"/>
          <w:snapToGrid w:val="0"/>
          <w:kern w:val="0"/>
          <w:sz w:val="24"/>
          <w:vertAlign w:val="subscript"/>
        </w:rPr>
        <w:t>1</w:t>
      </w:r>
      <w:r>
        <w:rPr>
          <w:rFonts w:hint="default" w:ascii="Times New Roman" w:hAnsi="Times New Roman" w:cs="Times New Roman"/>
          <w:snapToGrid w:val="0"/>
          <w:kern w:val="0"/>
          <w:sz w:val="24"/>
        </w:rPr>
        <w:t>——闪蒸量，kg/s；</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W</w:t>
      </w:r>
      <w:r>
        <w:rPr>
          <w:rFonts w:hint="default" w:ascii="Times New Roman" w:hAnsi="Times New Roman" w:cs="Times New Roman"/>
          <w:snapToGrid w:val="0"/>
          <w:kern w:val="0"/>
          <w:sz w:val="24"/>
          <w:vertAlign w:val="subscript"/>
        </w:rPr>
        <w:t>T</w:t>
      </w:r>
      <w:r>
        <w:rPr>
          <w:rFonts w:hint="default" w:ascii="Times New Roman" w:hAnsi="Times New Roman" w:cs="Times New Roman"/>
          <w:snapToGrid w:val="0"/>
          <w:kern w:val="0"/>
          <w:sz w:val="24"/>
        </w:rPr>
        <w:t>——液体泄漏总量，kg；</w:t>
      </w:r>
    </w:p>
    <w:p>
      <w:pPr>
        <w:keepNext w:val="0"/>
        <w:keepLines w:val="0"/>
        <w:pageBreakBefore w:val="0"/>
        <w:widowControl w:val="0"/>
        <w:kinsoku/>
        <w:wordWrap/>
        <w:overflowPunct/>
        <w:topLinePunct w:val="0"/>
        <w:autoSpaceDE/>
        <w:autoSpaceDN/>
        <w:bidi w:val="0"/>
        <w:spacing w:line="560" w:lineRule="exact"/>
        <w:ind w:firstLine="960" w:firstLineChars="4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t</w:t>
      </w:r>
      <w:r>
        <w:rPr>
          <w:rFonts w:hint="default" w:ascii="Times New Roman" w:hAnsi="Times New Roman" w:cs="Times New Roman"/>
          <w:snapToGrid w:val="0"/>
          <w:kern w:val="0"/>
          <w:sz w:val="24"/>
          <w:vertAlign w:val="subscript"/>
        </w:rPr>
        <w:t>1</w:t>
      </w:r>
      <w:r>
        <w:rPr>
          <w:rFonts w:hint="default" w:ascii="Times New Roman" w:hAnsi="Times New Roman" w:cs="Times New Roman"/>
          <w:snapToGrid w:val="0"/>
          <w:kern w:val="0"/>
          <w:sz w:val="24"/>
        </w:rPr>
        <w:t>——闪蒸蒸发时间，s；</w:t>
      </w:r>
    </w:p>
    <w:p>
      <w:pPr>
        <w:keepNext w:val="0"/>
        <w:keepLines w:val="0"/>
        <w:pageBreakBefore w:val="0"/>
        <w:widowControl w:val="0"/>
        <w:kinsoku/>
        <w:wordWrap/>
        <w:overflowPunct/>
        <w:topLinePunct w:val="0"/>
        <w:autoSpaceDE/>
        <w:autoSpaceDN/>
        <w:bidi w:val="0"/>
        <w:spacing w:line="560" w:lineRule="exact"/>
        <w:ind w:firstLine="960" w:firstLineChars="4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F ——蒸发的液体占液体总量的比例；按下式计算</w:t>
      </w:r>
    </w:p>
    <w:p>
      <w:pPr>
        <w:keepNext w:val="0"/>
        <w:keepLines w:val="0"/>
        <w:pageBreakBefore w:val="0"/>
        <w:widowControl w:val="0"/>
        <w:kinsoku/>
        <w:wordWrap/>
        <w:overflowPunct/>
        <w:topLinePunct w:val="0"/>
        <w:autoSpaceDE/>
        <w:autoSpaceDN/>
        <w:bidi w:val="0"/>
        <w:adjustRightInd w:val="0"/>
        <w:snapToGrid w:val="0"/>
        <w:spacing w:line="560" w:lineRule="exact"/>
        <w:ind w:firstLine="480" w:firstLineChars="200"/>
        <w:textAlignment w:val="auto"/>
        <w:rPr>
          <w:rFonts w:asciiTheme="minorEastAsia" w:hAnsiTheme="minorEastAsia"/>
          <w:sz w:val="24"/>
        </w:rPr>
      </w:pPr>
      <w:r>
        <w:rPr>
          <w:rFonts w:asciiTheme="minorEastAsia" w:hAnsiTheme="minorEastAsia"/>
          <w:sz w:val="24"/>
        </w:rPr>
        <w:drawing>
          <wp:anchor distT="0" distB="0" distL="114300" distR="114300" simplePos="0" relativeHeight="251661312" behindDoc="0" locked="0" layoutInCell="1" allowOverlap="1">
            <wp:simplePos x="0" y="0"/>
            <wp:positionH relativeFrom="column">
              <wp:posOffset>1257300</wp:posOffset>
            </wp:positionH>
            <wp:positionV relativeFrom="paragraph">
              <wp:posOffset>118745</wp:posOffset>
            </wp:positionV>
            <wp:extent cx="939800" cy="393700"/>
            <wp:effectExtent l="0" t="0" r="0" b="5715"/>
            <wp:wrapNone/>
            <wp:docPr id="25" name="对象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对象 18"/>
                    <pic:cNvPicPr>
                      <a:picLocks noChangeAspect="1"/>
                    </pic:cNvPicPr>
                  </pic:nvPicPr>
                  <pic:blipFill>
                    <a:blip r:embed="rId37"/>
                    <a:stretch>
                      <a:fillRect/>
                    </a:stretch>
                  </pic:blipFill>
                  <pic:spPr>
                    <a:xfrm>
                      <a:off x="0" y="0"/>
                      <a:ext cx="939800" cy="393700"/>
                    </a:xfrm>
                    <a:prstGeom prst="rect">
                      <a:avLst/>
                    </a:prstGeom>
                    <a:noFill/>
                    <a:ln>
                      <a:noFill/>
                    </a:ln>
                  </pic:spPr>
                </pic:pic>
              </a:graphicData>
            </a:graphic>
          </wp:anchor>
        </w:drawing>
      </w:r>
      <w:r>
        <w:rPr>
          <w:rFonts w:asciiTheme="minorEastAsia" w:hAnsiTheme="minorEastAsia"/>
          <w:sz w:val="24"/>
        </w:rPr>
        <w:t xml:space="preserve">    </w:t>
      </w:r>
    </w:p>
    <w:p>
      <w:pPr>
        <w:keepNext w:val="0"/>
        <w:keepLines w:val="0"/>
        <w:pageBreakBefore w:val="0"/>
        <w:widowControl w:val="0"/>
        <w:kinsoku/>
        <w:wordWrap/>
        <w:overflowPunct/>
        <w:topLinePunct w:val="0"/>
        <w:autoSpaceDE/>
        <w:autoSpaceDN/>
        <w:bidi w:val="0"/>
        <w:adjustRightInd w:val="0"/>
        <w:snapToGrid w:val="0"/>
        <w:spacing w:line="560" w:lineRule="exact"/>
        <w:ind w:firstLine="480" w:firstLineChars="200"/>
        <w:textAlignment w:val="auto"/>
        <w:rPr>
          <w:rFonts w:asciiTheme="minorEastAsia" w:hAnsiTheme="minorEastAsia"/>
          <w:sz w:val="24"/>
        </w:rPr>
      </w:pPr>
      <w:r>
        <w:rPr>
          <w:rFonts w:asciiTheme="minorEastAsia" w:hAnsiTheme="minorEastAsia"/>
          <w:sz w:val="24"/>
        </w:rPr>
        <w:t>式中：</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C</w:t>
      </w:r>
      <w:r>
        <w:rPr>
          <w:rFonts w:hint="default" w:ascii="Times New Roman" w:hAnsi="Times New Roman" w:cs="Times New Roman"/>
          <w:snapToGrid w:val="0"/>
          <w:kern w:val="0"/>
          <w:sz w:val="24"/>
          <w:vertAlign w:val="subscript"/>
        </w:rPr>
        <w:t>p</w:t>
      </w:r>
      <w:r>
        <w:rPr>
          <w:rFonts w:hint="default" w:ascii="Times New Roman" w:hAnsi="Times New Roman" w:cs="Times New Roman"/>
          <w:snapToGrid w:val="0"/>
          <w:kern w:val="0"/>
          <w:sz w:val="24"/>
        </w:rPr>
        <w:t>——液体的定压比热，J/(kg·K)；</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T</w:t>
      </w:r>
      <w:r>
        <w:rPr>
          <w:rFonts w:hint="default" w:ascii="Times New Roman" w:hAnsi="Times New Roman" w:cs="Times New Roman"/>
          <w:snapToGrid w:val="0"/>
          <w:kern w:val="0"/>
          <w:sz w:val="24"/>
          <w:vertAlign w:val="subscript"/>
        </w:rPr>
        <w:t>L</w:t>
      </w:r>
      <w:r>
        <w:rPr>
          <w:rFonts w:hint="default" w:ascii="Times New Roman" w:hAnsi="Times New Roman" w:cs="Times New Roman"/>
          <w:snapToGrid w:val="0"/>
          <w:kern w:val="0"/>
          <w:sz w:val="24"/>
        </w:rPr>
        <w:t>——泄漏前液体的温度，K；</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T</w:t>
      </w:r>
      <w:r>
        <w:rPr>
          <w:rFonts w:hint="default" w:ascii="Times New Roman" w:hAnsi="Times New Roman" w:cs="Times New Roman"/>
          <w:snapToGrid w:val="0"/>
          <w:kern w:val="0"/>
          <w:sz w:val="24"/>
          <w:vertAlign w:val="subscript"/>
        </w:rPr>
        <w:t>b</w:t>
      </w:r>
      <w:r>
        <w:rPr>
          <w:rFonts w:hint="default" w:ascii="Times New Roman" w:hAnsi="Times New Roman" w:cs="Times New Roman"/>
          <w:snapToGrid w:val="0"/>
          <w:kern w:val="0"/>
          <w:sz w:val="24"/>
        </w:rPr>
        <w:t>——液体在常压下的沸点，K；</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H ——液体的气化热，J/kg。</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lang w:eastAsia="zh-CN"/>
        </w:rPr>
        <w:t>（</w:t>
      </w:r>
      <w:r>
        <w:rPr>
          <w:rFonts w:hint="default" w:ascii="Times New Roman" w:hAnsi="Times New Roman" w:cs="Times New Roman"/>
          <w:snapToGrid w:val="0"/>
          <w:kern w:val="0"/>
          <w:sz w:val="24"/>
          <w:lang w:val="en-US" w:eastAsia="zh-CN"/>
        </w:rPr>
        <w:t>2</w:t>
      </w:r>
      <w:r>
        <w:rPr>
          <w:rFonts w:hint="default" w:ascii="Times New Roman" w:hAnsi="Times New Roman" w:cs="Times New Roman"/>
          <w:snapToGrid w:val="0"/>
          <w:kern w:val="0"/>
          <w:sz w:val="24"/>
          <w:lang w:eastAsia="zh-CN"/>
        </w:rPr>
        <w:t>）</w:t>
      </w:r>
      <w:r>
        <w:rPr>
          <w:rFonts w:hint="default" w:ascii="Times New Roman" w:hAnsi="Times New Roman" w:cs="Times New Roman"/>
          <w:snapToGrid w:val="0"/>
          <w:kern w:val="0"/>
          <w:sz w:val="24"/>
        </w:rPr>
        <w:t>热量蒸发速率</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当液体闪蒸不完全，有一部分液体在地面形成液池，并吸收地面热量而气化称为热量蒸发。热量蒸发的蒸发速度Q</w:t>
      </w:r>
      <w:r>
        <w:rPr>
          <w:rFonts w:hint="default" w:ascii="Times New Roman" w:hAnsi="Times New Roman" w:cs="Times New Roman"/>
          <w:snapToGrid w:val="0"/>
          <w:kern w:val="0"/>
          <w:sz w:val="24"/>
          <w:vertAlign w:val="subscript"/>
        </w:rPr>
        <w:t>2</w:t>
      </w:r>
      <w:r>
        <w:rPr>
          <w:rFonts w:hint="default" w:ascii="Times New Roman" w:hAnsi="Times New Roman" w:cs="Times New Roman"/>
          <w:snapToGrid w:val="0"/>
          <w:kern w:val="0"/>
          <w:sz w:val="24"/>
        </w:rPr>
        <w:t>按下式计算：</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drawing>
          <wp:anchor distT="0" distB="0" distL="114300" distR="114300" simplePos="0" relativeHeight="251662336" behindDoc="0" locked="0" layoutInCell="1" allowOverlap="1">
            <wp:simplePos x="0" y="0"/>
            <wp:positionH relativeFrom="column">
              <wp:posOffset>1485900</wp:posOffset>
            </wp:positionH>
            <wp:positionV relativeFrom="paragraph">
              <wp:posOffset>0</wp:posOffset>
            </wp:positionV>
            <wp:extent cx="1193800" cy="419100"/>
            <wp:effectExtent l="0" t="0" r="6350" b="0"/>
            <wp:wrapNone/>
            <wp:docPr id="24" name="对象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对象 19"/>
                    <pic:cNvPicPr>
                      <a:picLocks noChangeAspect="1"/>
                    </pic:cNvPicPr>
                  </pic:nvPicPr>
                  <pic:blipFill>
                    <a:blip r:embed="rId38"/>
                    <a:stretch>
                      <a:fillRect/>
                    </a:stretch>
                  </pic:blipFill>
                  <pic:spPr>
                    <a:xfrm>
                      <a:off x="0" y="0"/>
                      <a:ext cx="1193800" cy="4191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560" w:lineRule="exact"/>
        <w:textAlignment w:val="auto"/>
        <w:rPr>
          <w:rFonts w:hint="default" w:ascii="Times New Roman" w:hAnsi="Times New Roman" w:cs="Times New Roman"/>
          <w:sz w:val="24"/>
        </w:rPr>
      </w:pPr>
      <w:r>
        <w:rPr>
          <w:rFonts w:hint="default" w:ascii="Times New Roman" w:hAnsi="Times New Roman" w:cs="Times New Roman"/>
          <w:sz w:val="24"/>
        </w:rPr>
        <w:t xml:space="preserve">       式中：</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Q</w:t>
      </w:r>
      <w:r>
        <w:rPr>
          <w:rFonts w:hint="default" w:ascii="Times New Roman" w:hAnsi="Times New Roman" w:cs="Times New Roman"/>
          <w:snapToGrid w:val="0"/>
          <w:kern w:val="0"/>
          <w:sz w:val="24"/>
          <w:vertAlign w:val="subscript"/>
        </w:rPr>
        <w:t>2</w:t>
      </w:r>
      <w:r>
        <w:rPr>
          <w:rFonts w:hint="default" w:ascii="Times New Roman" w:hAnsi="Times New Roman" w:cs="Times New Roman"/>
          <w:snapToGrid w:val="0"/>
          <w:kern w:val="0"/>
          <w:sz w:val="24"/>
        </w:rPr>
        <w:t>——热量蒸发速度，kg/s；</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T</w:t>
      </w:r>
      <w:r>
        <w:rPr>
          <w:rFonts w:hint="default" w:ascii="Times New Roman" w:hAnsi="Times New Roman" w:cs="Times New Roman"/>
          <w:snapToGrid w:val="0"/>
          <w:kern w:val="0"/>
          <w:sz w:val="24"/>
          <w:vertAlign w:val="subscript"/>
        </w:rPr>
        <w:t>0</w:t>
      </w:r>
      <w:r>
        <w:rPr>
          <w:rFonts w:hint="default" w:ascii="Times New Roman" w:hAnsi="Times New Roman" w:cs="Times New Roman"/>
          <w:snapToGrid w:val="0"/>
          <w:kern w:val="0"/>
          <w:sz w:val="24"/>
        </w:rPr>
        <w:t>——环境温度，k；</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T</w:t>
      </w:r>
      <w:r>
        <w:rPr>
          <w:rFonts w:hint="default" w:ascii="Times New Roman" w:hAnsi="Times New Roman" w:cs="Times New Roman"/>
          <w:snapToGrid w:val="0"/>
          <w:kern w:val="0"/>
          <w:sz w:val="24"/>
          <w:vertAlign w:val="subscript"/>
        </w:rPr>
        <w:t>b</w:t>
      </w:r>
      <w:r>
        <w:rPr>
          <w:rFonts w:hint="default" w:ascii="Times New Roman" w:hAnsi="Times New Roman" w:cs="Times New Roman"/>
          <w:snapToGrid w:val="0"/>
          <w:kern w:val="0"/>
          <w:sz w:val="24"/>
        </w:rPr>
        <w:t>——沸点温度；k；</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S ——液池面积，m</w:t>
      </w:r>
      <w:r>
        <w:rPr>
          <w:rFonts w:hint="default" w:ascii="Times New Roman" w:hAnsi="Times New Roman" w:cs="Times New Roman"/>
          <w:snapToGrid w:val="0"/>
          <w:kern w:val="0"/>
          <w:sz w:val="24"/>
          <w:vertAlign w:val="superscript"/>
        </w:rPr>
        <w:t>2</w:t>
      </w:r>
      <w:r>
        <w:rPr>
          <w:rFonts w:hint="default" w:ascii="Times New Roman" w:hAnsi="Times New Roman" w:cs="Times New Roman"/>
          <w:snapToGrid w:val="0"/>
          <w:kern w:val="0"/>
          <w:sz w:val="24"/>
        </w:rPr>
        <w:t>；</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H——液体气化热，J/kg；94卡/克</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λ——表面热导系数，W/m·k；见表4-10</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α——表面热扩散系数，m</w:t>
      </w:r>
      <w:r>
        <w:rPr>
          <w:rFonts w:hint="default" w:ascii="Times New Roman" w:hAnsi="Times New Roman" w:cs="Times New Roman"/>
          <w:snapToGrid w:val="0"/>
          <w:kern w:val="0"/>
          <w:sz w:val="24"/>
          <w:vertAlign w:val="superscript"/>
        </w:rPr>
        <w:t>2</w:t>
      </w:r>
      <w:r>
        <w:rPr>
          <w:rFonts w:hint="default" w:ascii="Times New Roman" w:hAnsi="Times New Roman" w:cs="Times New Roman"/>
          <w:snapToGrid w:val="0"/>
          <w:kern w:val="0"/>
          <w:sz w:val="24"/>
        </w:rPr>
        <w:t>/s；</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 xml:space="preserve">    t——蒸发时间，s。</w:t>
      </w:r>
    </w:p>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表</w:t>
      </w:r>
      <w:r>
        <w:rPr>
          <w:rFonts w:hint="eastAsia" w:ascii="Times New Roman" w:hAnsi="Times New Roman" w:eastAsia="宋体" w:cs="Times New Roman"/>
          <w:b/>
          <w:kern w:val="0"/>
          <w:sz w:val="24"/>
          <w:szCs w:val="24"/>
          <w:lang w:val="en-US" w:eastAsia="zh-CN"/>
        </w:rPr>
        <w:t>5.3</w:t>
      </w:r>
      <w:r>
        <w:rPr>
          <w:rFonts w:hint="default" w:ascii="Times New Roman" w:hAnsi="Times New Roman" w:eastAsia="宋体" w:cs="Times New Roman"/>
          <w:b/>
          <w:kern w:val="0"/>
          <w:sz w:val="24"/>
          <w:szCs w:val="24"/>
          <w:lang w:val="en-US" w:eastAsia="zh-CN"/>
        </w:rPr>
        <w:t>-2</w:t>
      </w:r>
      <w:r>
        <w:rPr>
          <w:rFonts w:hint="default" w:ascii="Times New Roman" w:hAnsi="Times New Roman" w:eastAsia="宋体" w:cs="Times New Roman"/>
          <w:b/>
          <w:kern w:val="0"/>
          <w:sz w:val="24"/>
          <w:szCs w:val="24"/>
        </w:rPr>
        <w:t xml:space="preserve">    某些地面的热传递性质</w:t>
      </w:r>
    </w:p>
    <w:tbl>
      <w:tblPr>
        <w:tblStyle w:val="21"/>
        <w:tblW w:w="0" w:type="auto"/>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2579"/>
        <w:gridCol w:w="3054"/>
        <w:gridCol w:w="2889"/>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Pr>
        <w:tc>
          <w:tcPr>
            <w:tcW w:w="2579" w:type="dxa"/>
            <w:tcBorders>
              <w:tl2br w:val="nil"/>
              <w:tr2bl w:val="nil"/>
            </w:tcBorders>
            <w:vAlign w:val="center"/>
          </w:tcPr>
          <w:p>
            <w:pPr>
              <w:spacing w:line="240" w:lineRule="auto"/>
              <w:jc w:val="center"/>
              <w:rPr>
                <w:rFonts w:asciiTheme="minorEastAsia" w:hAnsiTheme="minorEastAsia"/>
                <w:sz w:val="18"/>
              </w:rPr>
            </w:pPr>
            <w:r>
              <w:rPr>
                <w:rFonts w:asciiTheme="minorEastAsia" w:hAnsiTheme="minorEastAsia"/>
                <w:sz w:val="18"/>
              </w:rPr>
              <w:t>地面情况</w:t>
            </w:r>
          </w:p>
        </w:tc>
        <w:tc>
          <w:tcPr>
            <w:tcW w:w="3054" w:type="dxa"/>
            <w:tcBorders>
              <w:tl2br w:val="nil"/>
              <w:tr2bl w:val="nil"/>
            </w:tcBorders>
            <w:vAlign w:val="center"/>
          </w:tcPr>
          <w:p>
            <w:pPr>
              <w:spacing w:line="240" w:lineRule="auto"/>
              <w:jc w:val="center"/>
              <w:rPr>
                <w:rFonts w:asciiTheme="minorEastAsia" w:hAnsiTheme="minorEastAsia"/>
                <w:sz w:val="18"/>
              </w:rPr>
            </w:pPr>
            <w:r>
              <w:rPr>
                <w:rFonts w:asciiTheme="minorEastAsia" w:hAnsiTheme="minorEastAsia"/>
                <w:sz w:val="18"/>
              </w:rPr>
              <w:t>λ（w/m·k）</w:t>
            </w:r>
          </w:p>
        </w:tc>
        <w:tc>
          <w:tcPr>
            <w:tcW w:w="2889" w:type="dxa"/>
            <w:tcBorders>
              <w:tl2br w:val="nil"/>
              <w:tr2bl w:val="nil"/>
            </w:tcBorders>
            <w:vAlign w:val="center"/>
          </w:tcPr>
          <w:p>
            <w:pPr>
              <w:spacing w:line="240" w:lineRule="auto"/>
              <w:jc w:val="center"/>
              <w:rPr>
                <w:rFonts w:asciiTheme="minorEastAsia" w:hAnsiTheme="minorEastAsia"/>
                <w:sz w:val="18"/>
              </w:rPr>
            </w:pPr>
            <w:r>
              <w:rPr>
                <w:rFonts w:asciiTheme="minorEastAsia" w:hAnsiTheme="minorEastAsia"/>
                <w:sz w:val="18"/>
              </w:rPr>
              <w:t>α（m</w:t>
            </w:r>
            <w:r>
              <w:rPr>
                <w:rFonts w:asciiTheme="minorEastAsia" w:hAnsiTheme="minorEastAsia"/>
                <w:sz w:val="18"/>
                <w:vertAlign w:val="superscript"/>
              </w:rPr>
              <w:t>2</w:t>
            </w:r>
            <w:r>
              <w:rPr>
                <w:rFonts w:asciiTheme="minorEastAsia" w:hAnsiTheme="minorEastAsia"/>
                <w:sz w:val="18"/>
              </w:rPr>
              <w:t>/s）</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Pr>
        <w:tc>
          <w:tcPr>
            <w:tcW w:w="2579" w:type="dxa"/>
            <w:tcBorders>
              <w:tl2br w:val="nil"/>
              <w:tr2bl w:val="nil"/>
            </w:tcBorders>
            <w:vAlign w:val="center"/>
          </w:tcPr>
          <w:p>
            <w:pPr>
              <w:spacing w:line="240" w:lineRule="auto"/>
              <w:jc w:val="center"/>
              <w:rPr>
                <w:rFonts w:asciiTheme="minorEastAsia" w:hAnsiTheme="minorEastAsia"/>
                <w:sz w:val="18"/>
              </w:rPr>
            </w:pPr>
            <w:r>
              <w:rPr>
                <w:rFonts w:asciiTheme="minorEastAsia" w:hAnsiTheme="minorEastAsia"/>
                <w:sz w:val="18"/>
              </w:rPr>
              <w:t>水泥</w:t>
            </w:r>
          </w:p>
          <w:p>
            <w:pPr>
              <w:spacing w:line="240" w:lineRule="auto"/>
              <w:jc w:val="center"/>
              <w:rPr>
                <w:rFonts w:asciiTheme="minorEastAsia" w:hAnsiTheme="minorEastAsia"/>
                <w:sz w:val="18"/>
              </w:rPr>
            </w:pPr>
            <w:r>
              <w:rPr>
                <w:rFonts w:asciiTheme="minorEastAsia" w:hAnsiTheme="minorEastAsia"/>
                <w:sz w:val="18"/>
              </w:rPr>
              <w:t>土地（含水8%）</w:t>
            </w:r>
          </w:p>
          <w:p>
            <w:pPr>
              <w:spacing w:line="240" w:lineRule="auto"/>
              <w:jc w:val="center"/>
              <w:rPr>
                <w:rFonts w:asciiTheme="minorEastAsia" w:hAnsiTheme="minorEastAsia"/>
                <w:sz w:val="18"/>
              </w:rPr>
            </w:pPr>
            <w:r>
              <w:rPr>
                <w:rFonts w:asciiTheme="minorEastAsia" w:hAnsiTheme="minorEastAsia"/>
                <w:sz w:val="18"/>
              </w:rPr>
              <w:t>干阔土地</w:t>
            </w:r>
          </w:p>
          <w:p>
            <w:pPr>
              <w:spacing w:line="240" w:lineRule="auto"/>
              <w:jc w:val="center"/>
              <w:rPr>
                <w:rFonts w:asciiTheme="minorEastAsia" w:hAnsiTheme="minorEastAsia"/>
                <w:sz w:val="18"/>
              </w:rPr>
            </w:pPr>
            <w:r>
              <w:rPr>
                <w:rFonts w:asciiTheme="minorEastAsia" w:hAnsiTheme="minorEastAsia"/>
                <w:sz w:val="18"/>
              </w:rPr>
              <w:t>湿地</w:t>
            </w:r>
          </w:p>
          <w:p>
            <w:pPr>
              <w:spacing w:line="240" w:lineRule="auto"/>
              <w:jc w:val="center"/>
              <w:rPr>
                <w:rFonts w:asciiTheme="minorEastAsia" w:hAnsiTheme="minorEastAsia"/>
                <w:sz w:val="18"/>
              </w:rPr>
            </w:pPr>
            <w:r>
              <w:rPr>
                <w:rFonts w:asciiTheme="minorEastAsia" w:hAnsiTheme="minorEastAsia"/>
                <w:sz w:val="18"/>
              </w:rPr>
              <w:t>砂砾地</w:t>
            </w:r>
          </w:p>
        </w:tc>
        <w:tc>
          <w:tcPr>
            <w:tcW w:w="3054" w:type="dxa"/>
            <w:tcBorders>
              <w:tl2br w:val="nil"/>
              <w:tr2bl w:val="nil"/>
            </w:tcBorders>
            <w:vAlign w:val="center"/>
          </w:tcPr>
          <w:p>
            <w:pPr>
              <w:spacing w:line="240" w:lineRule="auto"/>
              <w:jc w:val="center"/>
              <w:rPr>
                <w:rFonts w:asciiTheme="minorEastAsia" w:hAnsiTheme="minorEastAsia"/>
                <w:sz w:val="18"/>
              </w:rPr>
            </w:pPr>
            <w:r>
              <w:rPr>
                <w:rFonts w:asciiTheme="minorEastAsia" w:hAnsiTheme="minorEastAsia"/>
                <w:sz w:val="18"/>
              </w:rPr>
              <w:t>1.1</w:t>
            </w:r>
          </w:p>
          <w:p>
            <w:pPr>
              <w:spacing w:line="240" w:lineRule="auto"/>
              <w:jc w:val="center"/>
              <w:rPr>
                <w:rFonts w:asciiTheme="minorEastAsia" w:hAnsiTheme="minorEastAsia"/>
                <w:sz w:val="18"/>
              </w:rPr>
            </w:pPr>
            <w:r>
              <w:rPr>
                <w:rFonts w:asciiTheme="minorEastAsia" w:hAnsiTheme="minorEastAsia"/>
                <w:sz w:val="18"/>
              </w:rPr>
              <w:t>0.9</w:t>
            </w:r>
          </w:p>
          <w:p>
            <w:pPr>
              <w:spacing w:line="240" w:lineRule="auto"/>
              <w:jc w:val="center"/>
              <w:rPr>
                <w:rFonts w:asciiTheme="minorEastAsia" w:hAnsiTheme="minorEastAsia"/>
                <w:sz w:val="18"/>
              </w:rPr>
            </w:pPr>
            <w:r>
              <w:rPr>
                <w:rFonts w:asciiTheme="minorEastAsia" w:hAnsiTheme="minorEastAsia"/>
                <w:sz w:val="18"/>
              </w:rPr>
              <w:t>0.3</w:t>
            </w:r>
          </w:p>
          <w:p>
            <w:pPr>
              <w:spacing w:line="240" w:lineRule="auto"/>
              <w:jc w:val="center"/>
              <w:rPr>
                <w:rFonts w:asciiTheme="minorEastAsia" w:hAnsiTheme="minorEastAsia"/>
                <w:sz w:val="18"/>
              </w:rPr>
            </w:pPr>
            <w:r>
              <w:rPr>
                <w:rFonts w:asciiTheme="minorEastAsia" w:hAnsiTheme="minorEastAsia"/>
                <w:sz w:val="18"/>
              </w:rPr>
              <w:t>0.6</w:t>
            </w:r>
          </w:p>
          <w:p>
            <w:pPr>
              <w:spacing w:line="240" w:lineRule="auto"/>
              <w:jc w:val="center"/>
              <w:rPr>
                <w:rFonts w:asciiTheme="minorEastAsia" w:hAnsiTheme="minorEastAsia"/>
                <w:sz w:val="18"/>
              </w:rPr>
            </w:pPr>
            <w:r>
              <w:rPr>
                <w:rFonts w:asciiTheme="minorEastAsia" w:hAnsiTheme="minorEastAsia"/>
                <w:sz w:val="18"/>
              </w:rPr>
              <w:t>2.5</w:t>
            </w:r>
          </w:p>
        </w:tc>
        <w:tc>
          <w:tcPr>
            <w:tcW w:w="2889" w:type="dxa"/>
            <w:tcBorders>
              <w:tl2br w:val="nil"/>
              <w:tr2bl w:val="nil"/>
            </w:tcBorders>
            <w:vAlign w:val="center"/>
          </w:tcPr>
          <w:p>
            <w:pPr>
              <w:spacing w:line="240" w:lineRule="auto"/>
              <w:jc w:val="center"/>
              <w:rPr>
                <w:rFonts w:asciiTheme="minorEastAsia" w:hAnsiTheme="minorEastAsia"/>
                <w:sz w:val="18"/>
                <w:vertAlign w:val="superscript"/>
              </w:rPr>
            </w:pPr>
            <w:r>
              <w:rPr>
                <w:rFonts w:asciiTheme="minorEastAsia" w:hAnsiTheme="minorEastAsia"/>
                <w:sz w:val="18"/>
              </w:rPr>
              <w:t>1.29×10</w:t>
            </w:r>
            <w:r>
              <w:rPr>
                <w:rFonts w:asciiTheme="minorEastAsia" w:hAnsiTheme="minorEastAsia"/>
                <w:sz w:val="18"/>
                <w:vertAlign w:val="superscript"/>
              </w:rPr>
              <w:t>-7</w:t>
            </w:r>
          </w:p>
          <w:p>
            <w:pPr>
              <w:spacing w:line="240" w:lineRule="auto"/>
              <w:jc w:val="center"/>
              <w:rPr>
                <w:rFonts w:asciiTheme="minorEastAsia" w:hAnsiTheme="minorEastAsia"/>
                <w:sz w:val="18"/>
                <w:vertAlign w:val="superscript"/>
              </w:rPr>
            </w:pPr>
            <w:r>
              <w:rPr>
                <w:rFonts w:asciiTheme="minorEastAsia" w:hAnsiTheme="minorEastAsia"/>
                <w:sz w:val="18"/>
              </w:rPr>
              <w:t>4.3×10</w:t>
            </w:r>
            <w:r>
              <w:rPr>
                <w:rFonts w:asciiTheme="minorEastAsia" w:hAnsiTheme="minorEastAsia"/>
                <w:sz w:val="18"/>
                <w:vertAlign w:val="superscript"/>
              </w:rPr>
              <w:t>-7</w:t>
            </w:r>
          </w:p>
          <w:p>
            <w:pPr>
              <w:spacing w:line="240" w:lineRule="auto"/>
              <w:jc w:val="center"/>
              <w:rPr>
                <w:rFonts w:asciiTheme="minorEastAsia" w:hAnsiTheme="minorEastAsia"/>
                <w:sz w:val="18"/>
                <w:vertAlign w:val="superscript"/>
              </w:rPr>
            </w:pPr>
            <w:r>
              <w:rPr>
                <w:rFonts w:asciiTheme="minorEastAsia" w:hAnsiTheme="minorEastAsia"/>
                <w:sz w:val="18"/>
              </w:rPr>
              <w:t>2.3×10</w:t>
            </w:r>
            <w:r>
              <w:rPr>
                <w:rFonts w:asciiTheme="minorEastAsia" w:hAnsiTheme="minorEastAsia"/>
                <w:sz w:val="18"/>
                <w:vertAlign w:val="superscript"/>
              </w:rPr>
              <w:t>-7</w:t>
            </w:r>
          </w:p>
          <w:p>
            <w:pPr>
              <w:spacing w:line="240" w:lineRule="auto"/>
              <w:jc w:val="center"/>
              <w:rPr>
                <w:rFonts w:asciiTheme="minorEastAsia" w:hAnsiTheme="minorEastAsia"/>
                <w:sz w:val="18"/>
                <w:vertAlign w:val="superscript"/>
              </w:rPr>
            </w:pPr>
            <w:r>
              <w:rPr>
                <w:rFonts w:asciiTheme="minorEastAsia" w:hAnsiTheme="minorEastAsia"/>
                <w:sz w:val="18"/>
              </w:rPr>
              <w:t>3.3×10</w:t>
            </w:r>
            <w:r>
              <w:rPr>
                <w:rFonts w:asciiTheme="minorEastAsia" w:hAnsiTheme="minorEastAsia"/>
                <w:sz w:val="18"/>
                <w:vertAlign w:val="superscript"/>
              </w:rPr>
              <w:t>-7</w:t>
            </w:r>
          </w:p>
          <w:p>
            <w:pPr>
              <w:spacing w:line="240" w:lineRule="auto"/>
              <w:jc w:val="center"/>
              <w:rPr>
                <w:rFonts w:asciiTheme="minorEastAsia" w:hAnsiTheme="minorEastAsia"/>
                <w:sz w:val="18"/>
              </w:rPr>
            </w:pPr>
            <w:r>
              <w:rPr>
                <w:rFonts w:asciiTheme="minorEastAsia" w:hAnsiTheme="minorEastAsia"/>
                <w:sz w:val="18"/>
              </w:rPr>
              <w:t>11.0×10</w:t>
            </w:r>
            <w:r>
              <w:rPr>
                <w:rFonts w:asciiTheme="minorEastAsia" w:hAnsiTheme="minorEastAsia"/>
                <w:sz w:val="18"/>
                <w:vertAlign w:val="superscript"/>
              </w:rPr>
              <w:t>-7</w:t>
            </w:r>
          </w:p>
        </w:tc>
      </w:tr>
    </w:tbl>
    <w:p>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asciiTheme="minorEastAsia" w:hAnsiTheme="minorEastAsia"/>
          <w:snapToGrid w:val="0"/>
          <w:kern w:val="0"/>
          <w:sz w:val="24"/>
        </w:rPr>
      </w:pPr>
      <w:r>
        <w:rPr>
          <w:rFonts w:hint="eastAsia" w:asciiTheme="minorEastAsia" w:hAnsiTheme="minorEastAsia"/>
          <w:snapToGrid w:val="0"/>
          <w:kern w:val="0"/>
          <w:sz w:val="24"/>
          <w:lang w:eastAsia="zh-CN"/>
        </w:rPr>
        <w:t>（</w:t>
      </w:r>
      <w:r>
        <w:rPr>
          <w:rFonts w:hint="eastAsia" w:asciiTheme="minorEastAsia" w:hAnsiTheme="minorEastAsia"/>
          <w:snapToGrid w:val="0"/>
          <w:kern w:val="0"/>
          <w:sz w:val="24"/>
          <w:lang w:val="en-US" w:eastAsia="zh-CN"/>
        </w:rPr>
        <w:t>3</w:t>
      </w:r>
      <w:r>
        <w:rPr>
          <w:rFonts w:hint="eastAsia" w:asciiTheme="minorEastAsia" w:hAnsiTheme="minorEastAsia"/>
          <w:snapToGrid w:val="0"/>
          <w:kern w:val="0"/>
          <w:sz w:val="24"/>
          <w:lang w:eastAsia="zh-CN"/>
        </w:rPr>
        <w:t>）</w:t>
      </w:r>
      <w:r>
        <w:rPr>
          <w:rFonts w:asciiTheme="minorEastAsia" w:hAnsiTheme="minorEastAsia"/>
          <w:snapToGrid w:val="0"/>
          <w:kern w:val="0"/>
          <w:sz w:val="24"/>
        </w:rPr>
        <w:t>质量蒸发速率</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asciiTheme="minorEastAsia" w:hAnsiTheme="minorEastAsia"/>
          <w:snapToGrid w:val="0"/>
          <w:kern w:val="0"/>
          <w:sz w:val="24"/>
        </w:rPr>
      </w:pPr>
      <w:r>
        <w:rPr>
          <w:rFonts w:asciiTheme="minorEastAsia" w:hAnsiTheme="minorEastAsia"/>
          <w:snapToGrid w:val="0"/>
          <w:kern w:val="0"/>
          <w:sz w:val="24"/>
        </w:rPr>
        <w:t>大量液体泄漏进入围堰后，发生质量蒸发，质量蒸发速度Q</w:t>
      </w:r>
      <w:r>
        <w:rPr>
          <w:rFonts w:asciiTheme="minorEastAsia" w:hAnsiTheme="minorEastAsia"/>
          <w:snapToGrid w:val="0"/>
          <w:kern w:val="0"/>
          <w:sz w:val="24"/>
          <w:vertAlign w:val="subscript"/>
        </w:rPr>
        <w:t>3</w:t>
      </w:r>
      <w:r>
        <w:rPr>
          <w:rFonts w:asciiTheme="minorEastAsia" w:hAnsiTheme="minorEastAsia"/>
          <w:snapToGrid w:val="0"/>
          <w:kern w:val="0"/>
          <w:sz w:val="24"/>
        </w:rPr>
        <w:t>下式计算：</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asciiTheme="minorEastAsia" w:hAnsiTheme="minorEastAsia"/>
          <w:sz w:val="24"/>
        </w:rPr>
      </w:pPr>
      <w:r>
        <w:rPr>
          <w:rFonts w:asciiTheme="minorEastAsia" w:hAnsiTheme="minorEastAsia"/>
          <w:position w:val="-12"/>
          <w:sz w:val="24"/>
        </w:rPr>
        <w:object>
          <v:shape id="_x0000_i1029" o:spt="75" type="#_x0000_t75" style="height:18.5pt;width:228pt;" o:ole="t" filled="f" o:preferrelative="t" stroked="f" coordsize="21600,21600">
            <v:path/>
            <v:fill on="f" focussize="0,0"/>
            <v:stroke on="f" joinstyle="miter"/>
            <v:imagedata r:id="rId40" o:title=""/>
            <o:lock v:ext="edit" aspectratio="t"/>
            <w10:wrap type="none"/>
            <w10:anchorlock/>
          </v:shape>
          <o:OLEObject Type="Embed" ProgID="Equation.3" ShapeID="_x0000_i1029" DrawAspect="Content" ObjectID="_1468075729" r:id="rId39">
            <o:LockedField>false</o:LockedField>
          </o:OLEObject>
        </w:objec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式中：Q</w:t>
      </w:r>
      <w:r>
        <w:rPr>
          <w:rFonts w:hint="default" w:ascii="Times New Roman" w:hAnsi="Times New Roman" w:cs="Times New Roman"/>
          <w:sz w:val="24"/>
          <w:vertAlign w:val="subscript"/>
        </w:rPr>
        <w:t>3</w:t>
      </w:r>
      <w:r>
        <w:rPr>
          <w:rFonts w:hint="default" w:ascii="Times New Roman" w:hAnsi="Times New Roman" w:cs="Times New Roman"/>
          <w:sz w:val="24"/>
        </w:rPr>
        <w:t xml:space="preserve"> — 质量蒸发速度，kg/s；</w:t>
      </w:r>
    </w:p>
    <w:p>
      <w:pPr>
        <w:keepNext w:val="0"/>
        <w:keepLines w:val="0"/>
        <w:pageBreakBefore w:val="0"/>
        <w:widowControl w:val="0"/>
        <w:kinsoku/>
        <w:wordWrap/>
        <w:overflowPunct/>
        <w:topLinePunct w:val="0"/>
        <w:autoSpaceDE/>
        <w:autoSpaceDN/>
        <w:bidi w:val="0"/>
        <w:adjustRightInd/>
        <w:snapToGrid/>
        <w:spacing w:line="560" w:lineRule="exact"/>
        <w:jc w:val="left"/>
        <w:textAlignment w:val="auto"/>
        <w:rPr>
          <w:rFonts w:hint="default" w:ascii="Times New Roman" w:hAnsi="Times New Roman" w:cs="Times New Roman"/>
          <w:sz w:val="24"/>
        </w:rPr>
      </w:pPr>
      <w:r>
        <w:rPr>
          <w:rFonts w:hint="default" w:ascii="Times New Roman" w:hAnsi="Times New Roman" w:cs="Times New Roman"/>
          <w:sz w:val="24"/>
        </w:rPr>
        <w:t xml:space="preserve">      a，n — 大气稳定系数，见表</w:t>
      </w:r>
      <w:r>
        <w:rPr>
          <w:rFonts w:hint="eastAsia" w:ascii="Times New Roman" w:hAnsi="Times New Roman" w:cs="Times New Roman"/>
          <w:sz w:val="24"/>
          <w:lang w:val="en-US" w:eastAsia="zh-CN"/>
        </w:rPr>
        <w:t>5.3</w:t>
      </w:r>
      <w:r>
        <w:rPr>
          <w:rFonts w:hint="default" w:ascii="Times New Roman" w:hAnsi="Times New Roman" w:cs="Times New Roman"/>
          <w:sz w:val="24"/>
        </w:rPr>
        <w:t xml:space="preserve">-3；   </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50"/>
        <w:jc w:val="left"/>
        <w:textAlignment w:val="auto"/>
        <w:rPr>
          <w:rFonts w:hint="default" w:ascii="Times New Roman" w:hAnsi="Times New Roman" w:cs="Times New Roman"/>
          <w:sz w:val="24"/>
        </w:rPr>
      </w:pPr>
      <w:r>
        <w:rPr>
          <w:rFonts w:hint="default" w:ascii="Times New Roman" w:hAnsi="Times New Roman" w:cs="Times New Roman"/>
          <w:sz w:val="24"/>
        </w:rPr>
        <w:t>P — 液体表面蒸发压，Pa；</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50"/>
        <w:jc w:val="left"/>
        <w:textAlignment w:val="auto"/>
        <w:rPr>
          <w:rFonts w:hint="default" w:ascii="Times New Roman" w:hAnsi="Times New Roman" w:cs="Times New Roman"/>
          <w:sz w:val="24"/>
        </w:rPr>
      </w:pPr>
      <w:r>
        <w:rPr>
          <w:rFonts w:hint="default" w:ascii="Times New Roman" w:hAnsi="Times New Roman" w:cs="Times New Roman"/>
          <w:sz w:val="24"/>
        </w:rPr>
        <w:t>R — 气体常数，J/mol·K；</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50"/>
        <w:jc w:val="left"/>
        <w:textAlignment w:val="auto"/>
        <w:rPr>
          <w:rFonts w:hint="default" w:ascii="Times New Roman" w:hAnsi="Times New Roman" w:cs="Times New Roman"/>
          <w:sz w:val="24"/>
        </w:rPr>
      </w:pPr>
      <w:r>
        <w:rPr>
          <w:rFonts w:hint="default" w:ascii="Times New Roman" w:hAnsi="Times New Roman" w:cs="Times New Roman"/>
          <w:sz w:val="24"/>
        </w:rPr>
        <w:t>T</w:t>
      </w:r>
      <w:r>
        <w:rPr>
          <w:rFonts w:hint="default" w:ascii="Times New Roman" w:hAnsi="Times New Roman" w:cs="Times New Roman"/>
          <w:sz w:val="24"/>
          <w:vertAlign w:val="subscript"/>
        </w:rPr>
        <w:t>0</w:t>
      </w:r>
      <w:r>
        <w:rPr>
          <w:rFonts w:hint="default" w:ascii="Times New Roman" w:hAnsi="Times New Roman" w:cs="Times New Roman"/>
          <w:sz w:val="24"/>
        </w:rPr>
        <w:t xml:space="preserve"> — 环境温度，K；</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50"/>
        <w:jc w:val="left"/>
        <w:textAlignment w:val="auto"/>
        <w:rPr>
          <w:rFonts w:hint="default" w:ascii="Times New Roman" w:hAnsi="Times New Roman" w:cs="Times New Roman"/>
          <w:sz w:val="24"/>
        </w:rPr>
      </w:pPr>
      <w:r>
        <w:rPr>
          <w:rFonts w:hint="default" w:ascii="Times New Roman" w:hAnsi="Times New Roman" w:cs="Times New Roman"/>
          <w:sz w:val="24"/>
        </w:rPr>
        <w:t>U — 风速，m/s；</w:t>
      </w:r>
    </w:p>
    <w:p>
      <w:pPr>
        <w:keepNext w:val="0"/>
        <w:keepLines w:val="0"/>
        <w:pageBreakBefore w:val="0"/>
        <w:widowControl w:val="0"/>
        <w:kinsoku/>
        <w:wordWrap/>
        <w:overflowPunct/>
        <w:topLinePunct w:val="0"/>
        <w:autoSpaceDE/>
        <w:autoSpaceDN/>
        <w:bidi w:val="0"/>
        <w:adjustRightInd/>
        <w:snapToGrid/>
        <w:spacing w:line="560" w:lineRule="exact"/>
        <w:ind w:firstLine="600" w:firstLineChars="250"/>
        <w:jc w:val="left"/>
        <w:textAlignment w:val="auto"/>
        <w:rPr>
          <w:rFonts w:hint="default" w:ascii="Times New Roman" w:hAnsi="Times New Roman" w:cs="Times New Roman"/>
          <w:sz w:val="24"/>
        </w:rPr>
      </w:pPr>
      <w:r>
        <w:rPr>
          <w:rFonts w:hint="default" w:ascii="Times New Roman" w:hAnsi="Times New Roman" w:cs="Times New Roman"/>
          <w:sz w:val="24"/>
        </w:rPr>
        <w:t>r — 液池半径，m。</w:t>
      </w:r>
    </w:p>
    <w:p>
      <w:pPr>
        <w:keepNext w:val="0"/>
        <w:keepLines w:val="0"/>
        <w:pageBreakBefore w:val="0"/>
        <w:widowControl w:val="0"/>
        <w:kinsoku/>
        <w:wordWrap/>
        <w:overflowPunct/>
        <w:topLinePunct w:val="0"/>
        <w:autoSpaceDE/>
        <w:autoSpaceDN/>
        <w:bidi w:val="0"/>
        <w:spacing w:line="560" w:lineRule="exact"/>
        <w:jc w:val="center"/>
        <w:textAlignment w:val="auto"/>
        <w:rPr>
          <w:rFonts w:hint="default" w:ascii="Times New Roman" w:hAnsi="Times New Roman" w:eastAsia="宋体" w:cs="Times New Roman"/>
          <w:b/>
          <w:kern w:val="0"/>
          <w:sz w:val="24"/>
          <w:szCs w:val="24"/>
          <w:lang w:val="en-US" w:eastAsia="zh-CN"/>
        </w:rPr>
      </w:pPr>
      <w:r>
        <w:rPr>
          <w:rFonts w:hint="default" w:ascii="Times New Roman" w:hAnsi="Times New Roman" w:eastAsia="宋体" w:cs="Times New Roman"/>
          <w:b/>
          <w:kern w:val="0"/>
          <w:sz w:val="24"/>
          <w:szCs w:val="24"/>
          <w:lang w:val="en-US" w:eastAsia="zh-CN"/>
        </w:rPr>
        <w:t>表</w:t>
      </w:r>
      <w:r>
        <w:rPr>
          <w:rFonts w:hint="eastAsia" w:ascii="Times New Roman" w:hAnsi="Times New Roman" w:eastAsia="宋体" w:cs="Times New Roman"/>
          <w:b/>
          <w:kern w:val="0"/>
          <w:sz w:val="24"/>
          <w:szCs w:val="24"/>
          <w:lang w:val="en-US" w:eastAsia="zh-CN"/>
        </w:rPr>
        <w:t>5.3</w:t>
      </w:r>
      <w:r>
        <w:rPr>
          <w:rFonts w:hint="default" w:ascii="Times New Roman" w:hAnsi="Times New Roman" w:eastAsia="宋体" w:cs="Times New Roman"/>
          <w:b/>
          <w:kern w:val="0"/>
          <w:sz w:val="24"/>
          <w:szCs w:val="24"/>
          <w:lang w:val="en-US" w:eastAsia="zh-CN"/>
        </w:rPr>
        <w:t>-</w:t>
      </w:r>
      <w:r>
        <w:rPr>
          <w:rFonts w:hint="eastAsia" w:ascii="Times New Roman" w:hAnsi="Times New Roman" w:eastAsia="宋体" w:cs="Times New Roman"/>
          <w:b/>
          <w:kern w:val="0"/>
          <w:sz w:val="24"/>
          <w:szCs w:val="24"/>
          <w:lang w:val="en-US" w:eastAsia="zh-CN"/>
        </w:rPr>
        <w:t>3</w:t>
      </w:r>
      <w:r>
        <w:rPr>
          <w:rFonts w:hint="default" w:ascii="Times New Roman" w:hAnsi="Times New Roman" w:eastAsia="宋体" w:cs="Times New Roman"/>
          <w:b/>
          <w:kern w:val="0"/>
          <w:sz w:val="24"/>
          <w:szCs w:val="24"/>
          <w:lang w:val="en-US" w:eastAsia="zh-CN"/>
        </w:rPr>
        <w:t xml:space="preserve">   a，n系数与大气稳定度关系</w:t>
      </w:r>
    </w:p>
    <w:tbl>
      <w:tblPr>
        <w:tblStyle w:val="21"/>
        <w:tblW w:w="0" w:type="auto"/>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2807"/>
        <w:gridCol w:w="2857"/>
        <w:gridCol w:w="2858"/>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807"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大气稳定状况</w:t>
            </w:r>
          </w:p>
        </w:tc>
        <w:tc>
          <w:tcPr>
            <w:tcW w:w="2857"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n</w:t>
            </w:r>
          </w:p>
        </w:tc>
        <w:tc>
          <w:tcPr>
            <w:tcW w:w="2858"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a</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807"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不稳定</w:t>
            </w:r>
          </w:p>
        </w:tc>
        <w:tc>
          <w:tcPr>
            <w:tcW w:w="2857"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0.2</w:t>
            </w:r>
          </w:p>
        </w:tc>
        <w:tc>
          <w:tcPr>
            <w:tcW w:w="2858" w:type="dxa"/>
            <w:tcBorders>
              <w:tl2br w:val="nil"/>
              <w:tr2bl w:val="nil"/>
            </w:tcBorders>
            <w:vAlign w:val="center"/>
          </w:tcPr>
          <w:p>
            <w:pPr>
              <w:rPr>
                <w:rFonts w:asciiTheme="minorEastAsia" w:hAnsiTheme="minorEastAsia"/>
                <w:kern w:val="24"/>
                <w:sz w:val="18"/>
                <w:vertAlign w:val="superscript"/>
              </w:rPr>
            </w:pPr>
            <w:r>
              <w:rPr>
                <w:rFonts w:asciiTheme="minorEastAsia" w:hAnsiTheme="minorEastAsia"/>
                <w:kern w:val="24"/>
                <w:sz w:val="18"/>
              </w:rPr>
              <w:t>3.846×10</w:t>
            </w:r>
            <w:r>
              <w:rPr>
                <w:rFonts w:asciiTheme="minorEastAsia" w:hAnsiTheme="minorEastAsia"/>
                <w:kern w:val="24"/>
                <w:sz w:val="18"/>
                <w:vertAlign w:val="superscript"/>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807"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自然稳定</w:t>
            </w:r>
          </w:p>
        </w:tc>
        <w:tc>
          <w:tcPr>
            <w:tcW w:w="2857"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0.25</w:t>
            </w:r>
          </w:p>
        </w:tc>
        <w:tc>
          <w:tcPr>
            <w:tcW w:w="2858"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4.685×10</w:t>
            </w:r>
            <w:r>
              <w:rPr>
                <w:rFonts w:asciiTheme="minorEastAsia" w:hAnsiTheme="minorEastAsia"/>
                <w:kern w:val="24"/>
                <w:sz w:val="18"/>
                <w:vertAlign w:val="superscript"/>
              </w:rPr>
              <w:t>-3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807"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稳定</w:t>
            </w:r>
          </w:p>
        </w:tc>
        <w:tc>
          <w:tcPr>
            <w:tcW w:w="2857"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0.3</w:t>
            </w:r>
          </w:p>
        </w:tc>
        <w:tc>
          <w:tcPr>
            <w:tcW w:w="2858" w:type="dxa"/>
            <w:tcBorders>
              <w:tl2br w:val="nil"/>
              <w:tr2bl w:val="nil"/>
            </w:tcBorders>
            <w:vAlign w:val="center"/>
          </w:tcPr>
          <w:p>
            <w:pPr>
              <w:rPr>
                <w:rFonts w:asciiTheme="minorEastAsia" w:hAnsiTheme="minorEastAsia"/>
                <w:kern w:val="24"/>
                <w:sz w:val="18"/>
              </w:rPr>
            </w:pPr>
            <w:r>
              <w:rPr>
                <w:rFonts w:asciiTheme="minorEastAsia" w:hAnsiTheme="minorEastAsia"/>
                <w:kern w:val="24"/>
                <w:sz w:val="18"/>
              </w:rPr>
              <w:t>5.285×10</w:t>
            </w:r>
            <w:r>
              <w:rPr>
                <w:rFonts w:asciiTheme="minorEastAsia" w:hAnsiTheme="minorEastAsia"/>
                <w:kern w:val="24"/>
                <w:sz w:val="18"/>
                <w:vertAlign w:val="superscript"/>
              </w:rPr>
              <w:t>-3</w:t>
            </w:r>
          </w:p>
        </w:tc>
      </w:tr>
    </w:tbl>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napToGrid w:val="0"/>
          <w:kern w:val="0"/>
          <w:sz w:val="24"/>
        </w:rPr>
      </w:pPr>
      <w:r>
        <w:rPr>
          <w:rFonts w:hint="eastAsia" w:asciiTheme="minorEastAsia" w:hAnsiTheme="minorEastAsia"/>
          <w:snapToGrid w:val="0"/>
          <w:kern w:val="0"/>
          <w:sz w:val="24"/>
          <w:lang w:eastAsia="zh-CN"/>
        </w:rPr>
        <w:t>（</w:t>
      </w:r>
      <w:r>
        <w:rPr>
          <w:rFonts w:hint="eastAsia" w:asciiTheme="minorEastAsia" w:hAnsiTheme="minorEastAsia"/>
          <w:snapToGrid w:val="0"/>
          <w:kern w:val="0"/>
          <w:sz w:val="24"/>
          <w:lang w:val="en-US" w:eastAsia="zh-CN"/>
        </w:rPr>
        <w:t>4</w:t>
      </w:r>
      <w:r>
        <w:rPr>
          <w:rFonts w:hint="eastAsia" w:asciiTheme="minorEastAsia" w:hAnsiTheme="minorEastAsia"/>
          <w:snapToGrid w:val="0"/>
          <w:kern w:val="0"/>
          <w:sz w:val="24"/>
          <w:lang w:eastAsia="zh-CN"/>
        </w:rPr>
        <w:t>）</w:t>
      </w:r>
      <w:r>
        <w:rPr>
          <w:rFonts w:asciiTheme="minorEastAsia" w:hAnsiTheme="minorEastAsia"/>
          <w:snapToGrid w:val="0"/>
          <w:kern w:val="0"/>
          <w:sz w:val="24"/>
        </w:rPr>
        <w:t>计算参数</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napToGrid w:val="0"/>
          <w:kern w:val="0"/>
          <w:sz w:val="24"/>
        </w:rPr>
      </w:pPr>
      <w:r>
        <w:rPr>
          <w:rFonts w:asciiTheme="minorEastAsia" w:hAnsiTheme="minorEastAsia"/>
          <w:snapToGrid w:val="0"/>
          <w:kern w:val="0"/>
          <w:sz w:val="24"/>
        </w:rPr>
        <w:t>按照以上公式计算泄漏速率时，需要泄漏物质的基本</w:t>
      </w:r>
      <w:r>
        <w:rPr>
          <w:rFonts w:hint="default" w:ascii="Times New Roman" w:hAnsi="Times New Roman" w:cs="Times New Roman"/>
          <w:snapToGrid w:val="0"/>
          <w:kern w:val="0"/>
          <w:sz w:val="24"/>
        </w:rPr>
        <w:t>参数，见表</w:t>
      </w:r>
      <w:r>
        <w:rPr>
          <w:rFonts w:hint="eastAsia" w:ascii="Times New Roman" w:hAnsi="Times New Roman" w:cs="Times New Roman"/>
          <w:snapToGrid w:val="0"/>
          <w:kern w:val="0"/>
          <w:sz w:val="24"/>
          <w:lang w:val="en-US" w:eastAsia="zh-CN"/>
        </w:rPr>
        <w:t>5.3-4</w:t>
      </w:r>
      <w:r>
        <w:rPr>
          <w:rFonts w:hint="default" w:ascii="Times New Roman" w:hAnsi="Times New Roman" w:cs="Times New Roman"/>
          <w:snapToGrid w:val="0"/>
          <w:kern w:val="0"/>
          <w:sz w:val="24"/>
        </w:rPr>
        <w:t>。</w:t>
      </w:r>
    </w:p>
    <w:p>
      <w:pPr>
        <w:keepNext w:val="0"/>
        <w:keepLines w:val="0"/>
        <w:pageBreakBefore w:val="0"/>
        <w:widowControl w:val="0"/>
        <w:kinsoku/>
        <w:wordWrap/>
        <w:overflowPunct/>
        <w:topLinePunct w:val="0"/>
        <w:autoSpaceDE/>
        <w:autoSpaceDN/>
        <w:bidi w:val="0"/>
        <w:spacing w:line="560" w:lineRule="exact"/>
        <w:jc w:val="center"/>
        <w:textAlignment w:val="auto"/>
        <w:rPr>
          <w:rFonts w:hint="eastAsia" w:ascii="Times New Roman" w:hAnsi="Times New Roman" w:eastAsia="宋体" w:cs="Times New Roman"/>
          <w:b/>
          <w:kern w:val="0"/>
          <w:sz w:val="24"/>
          <w:szCs w:val="24"/>
          <w:lang w:val="en-US" w:eastAsia="zh-CN"/>
        </w:rPr>
      </w:pPr>
      <w:r>
        <w:rPr>
          <w:rFonts w:hint="eastAsia" w:ascii="Times New Roman" w:hAnsi="Times New Roman" w:eastAsia="宋体" w:cs="Times New Roman"/>
          <w:b/>
          <w:kern w:val="0"/>
          <w:sz w:val="24"/>
          <w:szCs w:val="24"/>
          <w:lang w:val="en-US" w:eastAsia="zh-CN"/>
        </w:rPr>
        <w:t>表5.3-4   泄漏液体基本物性参数表</w:t>
      </w:r>
    </w:p>
    <w:tbl>
      <w:tblPr>
        <w:tblStyle w:val="21"/>
        <w:tblW w:w="0" w:type="auto"/>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748"/>
        <w:gridCol w:w="883"/>
        <w:gridCol w:w="1069"/>
        <w:gridCol w:w="1144"/>
        <w:gridCol w:w="1730"/>
        <w:gridCol w:w="1583"/>
        <w:gridCol w:w="1365"/>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748" w:type="dxa"/>
            <w:tcBorders>
              <w:tl2br w:val="nil"/>
              <w:tr2bl w:val="nil"/>
            </w:tcBorders>
            <w:vAlign w:val="center"/>
          </w:tcPr>
          <w:p>
            <w:pPr>
              <w:rPr>
                <w:rFonts w:hint="default" w:ascii="Times New Roman" w:hAnsi="Times New Roman" w:cs="Times New Roman"/>
                <w:snapToGrid w:val="0"/>
                <w:sz w:val="18"/>
                <w:szCs w:val="18"/>
              </w:rPr>
            </w:pPr>
            <w:bookmarkStart w:id="320" w:name="_Toc397187416"/>
            <w:bookmarkStart w:id="321" w:name="_Toc405278294"/>
            <w:bookmarkStart w:id="322" w:name="_Toc387627374"/>
            <w:r>
              <w:rPr>
                <w:rFonts w:hint="default" w:ascii="Times New Roman" w:hAnsi="Times New Roman" w:cs="Times New Roman"/>
                <w:snapToGrid w:val="0"/>
                <w:sz w:val="18"/>
                <w:szCs w:val="18"/>
              </w:rPr>
              <w:t>物质</w:t>
            </w:r>
            <w:bookmarkEnd w:id="320"/>
            <w:bookmarkEnd w:id="321"/>
            <w:bookmarkEnd w:id="322"/>
          </w:p>
        </w:tc>
        <w:tc>
          <w:tcPr>
            <w:tcW w:w="883" w:type="dxa"/>
            <w:tcBorders>
              <w:tl2br w:val="nil"/>
              <w:tr2bl w:val="nil"/>
            </w:tcBorders>
            <w:vAlign w:val="center"/>
          </w:tcPr>
          <w:p>
            <w:pPr>
              <w:rPr>
                <w:rFonts w:hint="default" w:ascii="Times New Roman" w:hAnsi="Times New Roman" w:cs="Times New Roman"/>
                <w:snapToGrid w:val="0"/>
                <w:sz w:val="18"/>
                <w:szCs w:val="18"/>
              </w:rPr>
            </w:pPr>
            <w:bookmarkStart w:id="323" w:name="_Toc405278295"/>
            <w:bookmarkStart w:id="324" w:name="_Toc397187417"/>
            <w:bookmarkStart w:id="325" w:name="_Toc387627375"/>
            <w:r>
              <w:rPr>
                <w:rFonts w:hint="default" w:ascii="Times New Roman" w:hAnsi="Times New Roman" w:cs="Times New Roman"/>
                <w:snapToGrid w:val="0"/>
                <w:sz w:val="18"/>
                <w:szCs w:val="18"/>
              </w:rPr>
              <w:t>沸点℃</w:t>
            </w:r>
            <w:bookmarkEnd w:id="323"/>
            <w:bookmarkEnd w:id="324"/>
            <w:bookmarkEnd w:id="325"/>
          </w:p>
        </w:tc>
        <w:tc>
          <w:tcPr>
            <w:tcW w:w="1069" w:type="dxa"/>
            <w:tcBorders>
              <w:tl2br w:val="nil"/>
              <w:tr2bl w:val="nil"/>
            </w:tcBorders>
            <w:vAlign w:val="center"/>
          </w:tcPr>
          <w:p>
            <w:pPr>
              <w:rPr>
                <w:rFonts w:hint="default" w:ascii="Times New Roman" w:hAnsi="Times New Roman" w:cs="Times New Roman"/>
                <w:snapToGrid w:val="0"/>
                <w:sz w:val="18"/>
                <w:szCs w:val="18"/>
              </w:rPr>
            </w:pPr>
            <w:bookmarkStart w:id="326" w:name="_Toc387627376"/>
            <w:bookmarkStart w:id="327" w:name="_Toc397187418"/>
            <w:bookmarkStart w:id="328" w:name="_Toc405278296"/>
            <w:r>
              <w:rPr>
                <w:rFonts w:hint="default" w:ascii="Times New Roman" w:hAnsi="Times New Roman" w:cs="Times New Roman"/>
                <w:snapToGrid w:val="0"/>
                <w:sz w:val="18"/>
                <w:szCs w:val="18"/>
              </w:rPr>
              <w:t>密度Kg/m</w:t>
            </w:r>
            <w:r>
              <w:rPr>
                <w:rFonts w:hint="default" w:ascii="Times New Roman" w:hAnsi="Times New Roman" w:cs="Times New Roman"/>
                <w:snapToGrid w:val="0"/>
                <w:sz w:val="18"/>
                <w:szCs w:val="18"/>
                <w:vertAlign w:val="superscript"/>
              </w:rPr>
              <w:t>3</w:t>
            </w:r>
            <w:bookmarkEnd w:id="326"/>
            <w:bookmarkEnd w:id="327"/>
            <w:bookmarkEnd w:id="328"/>
          </w:p>
        </w:tc>
        <w:tc>
          <w:tcPr>
            <w:tcW w:w="1144" w:type="dxa"/>
            <w:tcBorders>
              <w:tl2br w:val="nil"/>
              <w:tr2bl w:val="nil"/>
            </w:tcBorders>
            <w:vAlign w:val="center"/>
          </w:tcPr>
          <w:p>
            <w:pPr>
              <w:rPr>
                <w:rFonts w:hint="default" w:ascii="Times New Roman" w:hAnsi="Times New Roman" w:cs="Times New Roman"/>
                <w:snapToGrid w:val="0"/>
                <w:sz w:val="18"/>
                <w:szCs w:val="18"/>
              </w:rPr>
            </w:pPr>
            <w:bookmarkStart w:id="329" w:name="_Toc405278297"/>
            <w:bookmarkStart w:id="330" w:name="_Toc397187419"/>
            <w:bookmarkStart w:id="331" w:name="_Toc387627377"/>
            <w:r>
              <w:rPr>
                <w:rFonts w:hint="default" w:ascii="Times New Roman" w:hAnsi="Times New Roman" w:cs="Times New Roman"/>
                <w:snapToGrid w:val="0"/>
                <w:sz w:val="18"/>
                <w:szCs w:val="18"/>
              </w:rPr>
              <w:t>分子量</w:t>
            </w:r>
            <w:bookmarkEnd w:id="329"/>
            <w:bookmarkEnd w:id="330"/>
            <w:bookmarkEnd w:id="331"/>
          </w:p>
        </w:tc>
        <w:tc>
          <w:tcPr>
            <w:tcW w:w="1730" w:type="dxa"/>
            <w:tcBorders>
              <w:tl2br w:val="nil"/>
              <w:tr2bl w:val="nil"/>
            </w:tcBorders>
            <w:vAlign w:val="center"/>
          </w:tcPr>
          <w:p>
            <w:pPr>
              <w:rPr>
                <w:rFonts w:hint="default" w:ascii="Times New Roman" w:hAnsi="Times New Roman" w:cs="Times New Roman"/>
                <w:snapToGrid w:val="0"/>
                <w:sz w:val="18"/>
                <w:szCs w:val="18"/>
              </w:rPr>
            </w:pPr>
            <w:bookmarkStart w:id="332" w:name="_Toc387627378"/>
            <w:bookmarkStart w:id="333" w:name="_Toc397187420"/>
            <w:bookmarkStart w:id="334" w:name="_Toc405278298"/>
            <w:r>
              <w:rPr>
                <w:rFonts w:hint="default" w:ascii="Times New Roman" w:hAnsi="Times New Roman" w:cs="Times New Roman"/>
                <w:snapToGrid w:val="0"/>
                <w:sz w:val="18"/>
                <w:szCs w:val="18"/>
              </w:rPr>
              <w:t>饱和蒸汽压</w:t>
            </w:r>
            <w:bookmarkEnd w:id="332"/>
            <w:bookmarkEnd w:id="333"/>
            <w:bookmarkEnd w:id="334"/>
          </w:p>
        </w:tc>
        <w:tc>
          <w:tcPr>
            <w:tcW w:w="1583" w:type="dxa"/>
            <w:tcBorders>
              <w:tl2br w:val="nil"/>
              <w:tr2bl w:val="nil"/>
            </w:tcBorders>
            <w:vAlign w:val="center"/>
          </w:tcPr>
          <w:p>
            <w:pPr>
              <w:rPr>
                <w:rFonts w:hint="default" w:ascii="Times New Roman" w:hAnsi="Times New Roman" w:cs="Times New Roman"/>
                <w:snapToGrid w:val="0"/>
                <w:sz w:val="18"/>
                <w:szCs w:val="18"/>
              </w:rPr>
            </w:pPr>
            <w:bookmarkStart w:id="335" w:name="_Toc397187421"/>
            <w:bookmarkStart w:id="336" w:name="_Toc405278299"/>
            <w:bookmarkStart w:id="337" w:name="_Toc387627379"/>
            <w:r>
              <w:rPr>
                <w:rFonts w:hint="default" w:ascii="Times New Roman" w:hAnsi="Times New Roman" w:cs="Times New Roman"/>
                <w:snapToGrid w:val="0"/>
                <w:sz w:val="18"/>
                <w:szCs w:val="18"/>
              </w:rPr>
              <w:t>定压比热(J/(kg·F）)</w:t>
            </w:r>
            <w:bookmarkEnd w:id="335"/>
            <w:bookmarkEnd w:id="336"/>
            <w:bookmarkEnd w:id="337"/>
          </w:p>
        </w:tc>
        <w:tc>
          <w:tcPr>
            <w:tcW w:w="1365" w:type="dxa"/>
            <w:tcBorders>
              <w:tl2br w:val="nil"/>
              <w:tr2bl w:val="nil"/>
            </w:tcBorders>
            <w:vAlign w:val="center"/>
          </w:tcPr>
          <w:p>
            <w:pPr>
              <w:rPr>
                <w:rFonts w:hint="default" w:ascii="Times New Roman" w:hAnsi="Times New Roman" w:cs="Times New Roman"/>
                <w:snapToGrid w:val="0"/>
                <w:sz w:val="18"/>
                <w:szCs w:val="18"/>
              </w:rPr>
            </w:pPr>
            <w:bookmarkStart w:id="338" w:name="_Toc405278300"/>
            <w:bookmarkStart w:id="339" w:name="_Toc397187422"/>
            <w:bookmarkStart w:id="340" w:name="_Toc387627380"/>
            <w:r>
              <w:rPr>
                <w:rFonts w:hint="default" w:ascii="Times New Roman" w:hAnsi="Times New Roman" w:cs="Times New Roman"/>
                <w:snapToGrid w:val="0"/>
                <w:sz w:val="18"/>
                <w:szCs w:val="18"/>
              </w:rPr>
              <w:t>汽化热</w:t>
            </w:r>
            <w:bookmarkEnd w:id="338"/>
            <w:bookmarkEnd w:id="339"/>
            <w:bookmarkEnd w:id="340"/>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748" w:type="dxa"/>
            <w:tcBorders>
              <w:tl2br w:val="nil"/>
              <w:tr2bl w:val="nil"/>
            </w:tcBorders>
            <w:vAlign w:val="center"/>
          </w:tcPr>
          <w:p>
            <w:pPr>
              <w:rPr>
                <w:rFonts w:hint="default" w:ascii="Times New Roman" w:hAnsi="Times New Roman" w:cs="Times New Roman"/>
                <w:snapToGrid w:val="0"/>
                <w:sz w:val="18"/>
                <w:szCs w:val="18"/>
              </w:rPr>
            </w:pPr>
            <w:bookmarkStart w:id="341" w:name="_Toc387627381"/>
            <w:bookmarkStart w:id="342" w:name="_Toc397187423"/>
            <w:bookmarkStart w:id="343" w:name="_Toc405278301"/>
            <w:r>
              <w:rPr>
                <w:rFonts w:hint="default" w:ascii="Times New Roman" w:hAnsi="Times New Roman" w:cs="Times New Roman"/>
                <w:snapToGrid w:val="0"/>
                <w:sz w:val="18"/>
                <w:szCs w:val="18"/>
              </w:rPr>
              <w:t>苯</w:t>
            </w:r>
            <w:bookmarkEnd w:id="341"/>
            <w:bookmarkEnd w:id="342"/>
            <w:bookmarkEnd w:id="343"/>
          </w:p>
        </w:tc>
        <w:tc>
          <w:tcPr>
            <w:tcW w:w="883" w:type="dxa"/>
            <w:tcBorders>
              <w:tl2br w:val="nil"/>
              <w:tr2bl w:val="nil"/>
            </w:tcBorders>
            <w:vAlign w:val="center"/>
          </w:tcPr>
          <w:p>
            <w:pPr>
              <w:rPr>
                <w:rFonts w:hint="default" w:ascii="Times New Roman" w:hAnsi="Times New Roman" w:cs="Times New Roman"/>
                <w:snapToGrid w:val="0"/>
                <w:sz w:val="18"/>
                <w:szCs w:val="18"/>
              </w:rPr>
            </w:pPr>
            <w:bookmarkStart w:id="344" w:name="_Toc405278302"/>
            <w:bookmarkStart w:id="345" w:name="_Toc397187424"/>
            <w:bookmarkStart w:id="346" w:name="_Toc387627382"/>
            <w:r>
              <w:rPr>
                <w:rFonts w:hint="default" w:ascii="Times New Roman" w:hAnsi="Times New Roman" w:cs="Times New Roman"/>
                <w:snapToGrid w:val="0"/>
                <w:sz w:val="18"/>
                <w:szCs w:val="18"/>
              </w:rPr>
              <w:t>80.1</w:t>
            </w:r>
            <w:bookmarkEnd w:id="344"/>
            <w:bookmarkEnd w:id="345"/>
            <w:bookmarkEnd w:id="346"/>
          </w:p>
        </w:tc>
        <w:tc>
          <w:tcPr>
            <w:tcW w:w="1069" w:type="dxa"/>
            <w:tcBorders>
              <w:tl2br w:val="nil"/>
              <w:tr2bl w:val="nil"/>
            </w:tcBorders>
            <w:vAlign w:val="center"/>
          </w:tcPr>
          <w:p>
            <w:pPr>
              <w:rPr>
                <w:rFonts w:hint="default" w:ascii="Times New Roman" w:hAnsi="Times New Roman" w:cs="Times New Roman"/>
                <w:snapToGrid w:val="0"/>
                <w:sz w:val="18"/>
                <w:szCs w:val="18"/>
              </w:rPr>
            </w:pPr>
            <w:bookmarkStart w:id="347" w:name="_Toc405278303"/>
            <w:bookmarkStart w:id="348" w:name="_Toc387627383"/>
            <w:bookmarkStart w:id="349" w:name="_Toc397187425"/>
            <w:r>
              <w:rPr>
                <w:rFonts w:hint="default" w:ascii="Times New Roman" w:hAnsi="Times New Roman" w:cs="Times New Roman"/>
                <w:snapToGrid w:val="0"/>
                <w:sz w:val="18"/>
                <w:szCs w:val="18"/>
              </w:rPr>
              <w:t>880</w:t>
            </w:r>
            <w:bookmarkEnd w:id="347"/>
            <w:bookmarkEnd w:id="348"/>
            <w:bookmarkEnd w:id="349"/>
            <w:r>
              <w:rPr>
                <w:rFonts w:hint="default" w:ascii="Times New Roman" w:hAnsi="Times New Roman" w:cs="Times New Roman"/>
                <w:snapToGrid w:val="0"/>
                <w:sz w:val="18"/>
                <w:szCs w:val="18"/>
              </w:rPr>
              <w:t xml:space="preserve"> </w:t>
            </w:r>
          </w:p>
        </w:tc>
        <w:tc>
          <w:tcPr>
            <w:tcW w:w="1144" w:type="dxa"/>
            <w:tcBorders>
              <w:tl2br w:val="nil"/>
              <w:tr2bl w:val="nil"/>
            </w:tcBorders>
            <w:vAlign w:val="center"/>
          </w:tcPr>
          <w:p>
            <w:pPr>
              <w:rPr>
                <w:rFonts w:hint="default" w:ascii="Times New Roman" w:hAnsi="Times New Roman" w:cs="Times New Roman"/>
                <w:snapToGrid w:val="0"/>
                <w:sz w:val="18"/>
                <w:szCs w:val="18"/>
              </w:rPr>
            </w:pPr>
            <w:bookmarkStart w:id="350" w:name="_Toc397187426"/>
            <w:bookmarkStart w:id="351" w:name="_Toc405278304"/>
            <w:bookmarkStart w:id="352" w:name="_Toc387627384"/>
            <w:r>
              <w:rPr>
                <w:rFonts w:hint="default" w:ascii="Times New Roman" w:hAnsi="Times New Roman" w:cs="Times New Roman"/>
                <w:snapToGrid w:val="0"/>
                <w:sz w:val="18"/>
                <w:szCs w:val="18"/>
              </w:rPr>
              <w:t>78.11</w:t>
            </w:r>
            <w:bookmarkEnd w:id="350"/>
            <w:bookmarkEnd w:id="351"/>
            <w:bookmarkEnd w:id="352"/>
          </w:p>
        </w:tc>
        <w:tc>
          <w:tcPr>
            <w:tcW w:w="1730" w:type="dxa"/>
            <w:tcBorders>
              <w:tl2br w:val="nil"/>
              <w:tr2bl w:val="nil"/>
            </w:tcBorders>
            <w:vAlign w:val="center"/>
          </w:tcPr>
          <w:p>
            <w:pPr>
              <w:rPr>
                <w:rFonts w:hint="default" w:ascii="Times New Roman" w:hAnsi="Times New Roman" w:cs="Times New Roman"/>
                <w:snapToGrid w:val="0"/>
                <w:sz w:val="18"/>
                <w:szCs w:val="18"/>
              </w:rPr>
            </w:pPr>
            <w:bookmarkStart w:id="353" w:name="_Toc405278305"/>
            <w:bookmarkStart w:id="354" w:name="_Toc387627385"/>
            <w:bookmarkStart w:id="355" w:name="_Toc397187427"/>
            <w:r>
              <w:rPr>
                <w:rFonts w:hint="default" w:ascii="Times New Roman" w:hAnsi="Times New Roman" w:cs="Times New Roman"/>
                <w:snapToGrid w:val="0"/>
                <w:sz w:val="18"/>
                <w:szCs w:val="18"/>
              </w:rPr>
              <w:t>13.33 kPa( (26.1℃)</w:t>
            </w:r>
            <w:bookmarkEnd w:id="353"/>
            <w:bookmarkEnd w:id="354"/>
            <w:bookmarkEnd w:id="355"/>
          </w:p>
        </w:tc>
        <w:tc>
          <w:tcPr>
            <w:tcW w:w="1583" w:type="dxa"/>
            <w:tcBorders>
              <w:tl2br w:val="nil"/>
              <w:tr2bl w:val="nil"/>
            </w:tcBorders>
            <w:vAlign w:val="center"/>
          </w:tcPr>
          <w:p>
            <w:pPr>
              <w:rPr>
                <w:rFonts w:hint="default" w:ascii="Times New Roman" w:hAnsi="Times New Roman" w:cs="Times New Roman"/>
                <w:snapToGrid w:val="0"/>
                <w:sz w:val="18"/>
                <w:szCs w:val="18"/>
              </w:rPr>
            </w:pPr>
            <w:bookmarkStart w:id="356" w:name="_Toc397187428"/>
            <w:bookmarkStart w:id="357" w:name="_Toc405278306"/>
            <w:bookmarkStart w:id="358" w:name="_Toc387627386"/>
            <w:r>
              <w:rPr>
                <w:rFonts w:hint="default" w:ascii="Times New Roman" w:hAnsi="Times New Roman" w:cs="Times New Roman"/>
                <w:snapToGrid w:val="0"/>
                <w:sz w:val="18"/>
                <w:szCs w:val="18"/>
              </w:rPr>
              <w:t>1.90×10</w:t>
            </w:r>
            <w:r>
              <w:rPr>
                <w:rFonts w:hint="default" w:ascii="Times New Roman" w:hAnsi="Times New Roman" w:cs="Times New Roman"/>
                <w:snapToGrid w:val="0"/>
                <w:sz w:val="18"/>
                <w:szCs w:val="18"/>
                <w:vertAlign w:val="superscript"/>
              </w:rPr>
              <w:t>3</w:t>
            </w:r>
            <w:bookmarkEnd w:id="356"/>
            <w:bookmarkEnd w:id="357"/>
            <w:bookmarkEnd w:id="358"/>
          </w:p>
        </w:tc>
        <w:tc>
          <w:tcPr>
            <w:tcW w:w="1365" w:type="dxa"/>
            <w:tcBorders>
              <w:tl2br w:val="nil"/>
              <w:tr2bl w:val="nil"/>
            </w:tcBorders>
            <w:vAlign w:val="center"/>
          </w:tcPr>
          <w:p>
            <w:pPr>
              <w:rPr>
                <w:rFonts w:hint="default" w:ascii="Times New Roman" w:hAnsi="Times New Roman" w:cs="Times New Roman"/>
                <w:snapToGrid w:val="0"/>
                <w:sz w:val="18"/>
                <w:szCs w:val="18"/>
              </w:rPr>
            </w:pPr>
            <w:bookmarkStart w:id="359" w:name="_Toc397187429"/>
            <w:bookmarkStart w:id="360" w:name="_Toc405278307"/>
            <w:bookmarkStart w:id="361" w:name="_Toc387627387"/>
            <w:r>
              <w:rPr>
                <w:rFonts w:hint="default" w:ascii="Times New Roman" w:hAnsi="Times New Roman" w:cs="Times New Roman"/>
                <w:snapToGrid w:val="0"/>
                <w:sz w:val="18"/>
                <w:szCs w:val="18"/>
              </w:rPr>
              <w:t>393.9 kJ/kg</w:t>
            </w:r>
            <w:bookmarkEnd w:id="359"/>
            <w:bookmarkEnd w:id="360"/>
            <w:bookmarkEnd w:id="361"/>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asciiTheme="minorEastAsia" w:hAnsiTheme="minorEastAsia"/>
          <w:sz w:val="24"/>
        </w:rPr>
      </w:pPr>
      <w:r>
        <w:rPr>
          <w:rFonts w:asciiTheme="minorEastAsia" w:hAnsiTheme="minorEastAsia"/>
          <w:sz w:val="24"/>
        </w:rPr>
        <w:t>根据上述公式计算出的苯的事故</w:t>
      </w:r>
      <w:r>
        <w:rPr>
          <w:rFonts w:hint="default" w:ascii="Times New Roman" w:hAnsi="Times New Roman" w:cs="Times New Roman"/>
          <w:sz w:val="24"/>
        </w:rPr>
        <w:t>源强见表</w:t>
      </w:r>
      <w:r>
        <w:rPr>
          <w:rFonts w:hint="eastAsia" w:ascii="Times New Roman" w:hAnsi="Times New Roman" w:cs="Times New Roman"/>
          <w:sz w:val="24"/>
          <w:lang w:val="en-US" w:eastAsia="zh-CN"/>
        </w:rPr>
        <w:t>5.3-5</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Times New Roman" w:hAnsi="Times New Roman" w:eastAsia="宋体" w:cs="Times New Roman"/>
          <w:b/>
          <w:kern w:val="0"/>
          <w:sz w:val="24"/>
          <w:szCs w:val="24"/>
          <w:lang w:val="en-US" w:eastAsia="zh-CN"/>
        </w:rPr>
      </w:pPr>
      <w:r>
        <w:rPr>
          <w:rFonts w:hint="eastAsia" w:ascii="Times New Roman" w:hAnsi="Times New Roman" w:eastAsia="宋体" w:cs="Times New Roman"/>
          <w:b/>
          <w:kern w:val="0"/>
          <w:sz w:val="24"/>
          <w:szCs w:val="24"/>
          <w:lang w:val="en-US" w:eastAsia="zh-CN"/>
        </w:rPr>
        <w:t>表5.3-5   不同条件下苯的事故源强</w:t>
      </w:r>
    </w:p>
    <w:tbl>
      <w:tblPr>
        <w:tblStyle w:val="21"/>
        <w:tblW w:w="0" w:type="auto"/>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2944"/>
        <w:gridCol w:w="1133"/>
        <w:gridCol w:w="1420"/>
        <w:gridCol w:w="1416"/>
        <w:gridCol w:w="1609"/>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340" w:hRule="atLeast"/>
          <w:jc w:val="center"/>
        </w:trPr>
        <w:tc>
          <w:tcPr>
            <w:tcW w:w="2944" w:type="dxa"/>
            <w:vMerge w:val="restart"/>
            <w:tcBorders>
              <w:tl2br w:val="nil"/>
              <w:tr2bl w:val="nil"/>
            </w:tcBorders>
            <w:vAlign w:val="center"/>
          </w:tcPr>
          <w:p>
            <w:pPr>
              <w:rPr>
                <w:rFonts w:hint="default" w:ascii="Times New Roman" w:hAnsi="Times New Roman" w:cs="Times New Roman"/>
                <w:kern w:val="24"/>
                <w:sz w:val="21"/>
                <w:szCs w:val="21"/>
              </w:rPr>
            </w:pPr>
            <w:r>
              <w:rPr>
                <w:rFonts w:hint="default" w:ascii="Times New Roman" w:hAnsi="Times New Roman" w:cs="Times New Roman"/>
                <w:kern w:val="24"/>
                <w:sz w:val="21"/>
                <w:szCs w:val="21"/>
              </w:rPr>
              <w:t xml:space="preserve">             风速（m/s）</w:t>
            </w:r>
          </w:p>
          <w:p>
            <w:pPr>
              <w:rPr>
                <w:rFonts w:hint="default" w:ascii="Times New Roman" w:hAnsi="Times New Roman" w:cs="Times New Roman"/>
                <w:kern w:val="24"/>
                <w:sz w:val="21"/>
                <w:szCs w:val="21"/>
              </w:rPr>
            </w:pPr>
            <w:r>
              <w:rPr>
                <w:rFonts w:hint="default" w:ascii="Times New Roman" w:hAnsi="Times New Roman" w:cs="Times New Roman"/>
                <w:kern w:val="24"/>
                <w:sz w:val="21"/>
                <w:szCs w:val="21"/>
              </w:rPr>
              <w:t>稳定度条件</w:t>
            </w:r>
          </w:p>
        </w:tc>
        <w:tc>
          <w:tcPr>
            <w:tcW w:w="5578" w:type="dxa"/>
            <w:gridSpan w:val="4"/>
            <w:tcBorders>
              <w:tl2br w:val="nil"/>
              <w:tr2bl w:val="nil"/>
            </w:tcBorders>
            <w:vAlign w:val="center"/>
          </w:tcPr>
          <w:p>
            <w:pPr>
              <w:jc w:val="center"/>
              <w:rPr>
                <w:rFonts w:hint="default" w:ascii="Times New Roman" w:hAnsi="Times New Roman" w:cs="Times New Roman"/>
                <w:kern w:val="24"/>
                <w:sz w:val="21"/>
                <w:szCs w:val="21"/>
              </w:rPr>
            </w:pPr>
            <w:r>
              <w:rPr>
                <w:rFonts w:hint="default" w:ascii="Times New Roman" w:hAnsi="Times New Roman" w:cs="Times New Roman"/>
                <w:kern w:val="24"/>
                <w:sz w:val="21"/>
                <w:szCs w:val="21"/>
              </w:rPr>
              <w:t>质量蒸发速度（Q</w:t>
            </w:r>
            <w:r>
              <w:rPr>
                <w:rFonts w:hint="default" w:ascii="Times New Roman" w:hAnsi="Times New Roman" w:cs="Times New Roman"/>
                <w:kern w:val="24"/>
                <w:sz w:val="21"/>
                <w:szCs w:val="21"/>
                <w:vertAlign w:val="subscript"/>
              </w:rPr>
              <w:t>3</w:t>
            </w:r>
            <w:r>
              <w:rPr>
                <w:rFonts w:hint="default" w:ascii="Times New Roman" w:hAnsi="Times New Roman" w:cs="Times New Roman"/>
                <w:kern w:val="24"/>
                <w:sz w:val="21"/>
                <w:szCs w:val="21"/>
              </w:rPr>
              <w:t>）  kg/s</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340" w:hRule="atLeast"/>
          <w:jc w:val="center"/>
        </w:trPr>
        <w:tc>
          <w:tcPr>
            <w:tcW w:w="2944" w:type="dxa"/>
            <w:vMerge w:val="continue"/>
            <w:tcBorders>
              <w:tl2br w:val="nil"/>
              <w:tr2bl w:val="nil"/>
            </w:tcBorders>
            <w:vAlign w:val="center"/>
          </w:tcPr>
          <w:p>
            <w:pPr>
              <w:adjustRightInd w:val="0"/>
              <w:snapToGrid w:val="0"/>
              <w:jc w:val="center"/>
              <w:rPr>
                <w:rFonts w:hint="default" w:ascii="Times New Roman" w:hAnsi="Times New Roman" w:cs="Times New Roman"/>
                <w:kern w:val="24"/>
                <w:sz w:val="21"/>
                <w:szCs w:val="21"/>
              </w:rPr>
            </w:pPr>
          </w:p>
        </w:tc>
        <w:tc>
          <w:tcPr>
            <w:tcW w:w="1133" w:type="dxa"/>
            <w:tcBorders>
              <w:tl2br w:val="nil"/>
              <w:tr2bl w:val="nil"/>
            </w:tcBorders>
            <w:vAlign w:val="center"/>
          </w:tcPr>
          <w:p>
            <w:pPr>
              <w:widowControl/>
              <w:adjustRightInd w:val="0"/>
              <w:snapToGrid w:val="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0.5</w:t>
            </w:r>
          </w:p>
        </w:tc>
        <w:tc>
          <w:tcPr>
            <w:tcW w:w="1420" w:type="dxa"/>
            <w:tcBorders>
              <w:tl2br w:val="nil"/>
              <w:tr2bl w:val="nil"/>
            </w:tcBorders>
            <w:vAlign w:val="center"/>
          </w:tcPr>
          <w:p>
            <w:pPr>
              <w:widowControl/>
              <w:adjustRightInd w:val="0"/>
              <w:snapToGrid w:val="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1. 5</w:t>
            </w:r>
          </w:p>
        </w:tc>
        <w:tc>
          <w:tcPr>
            <w:tcW w:w="1416" w:type="dxa"/>
            <w:tcBorders>
              <w:tl2br w:val="nil"/>
              <w:tr2bl w:val="nil"/>
            </w:tcBorders>
            <w:vAlign w:val="center"/>
          </w:tcPr>
          <w:p>
            <w:pPr>
              <w:widowControl/>
              <w:adjustRightInd w:val="0"/>
              <w:snapToGrid w:val="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2.02</w:t>
            </w:r>
          </w:p>
        </w:tc>
        <w:tc>
          <w:tcPr>
            <w:tcW w:w="1609" w:type="dxa"/>
            <w:tcBorders>
              <w:tl2br w:val="nil"/>
              <w:tr2bl w:val="nil"/>
            </w:tcBorders>
            <w:vAlign w:val="center"/>
          </w:tcPr>
          <w:p>
            <w:pPr>
              <w:widowControl/>
              <w:adjustRightInd w:val="0"/>
              <w:snapToGrid w:val="0"/>
              <w:jc w:val="center"/>
              <w:rPr>
                <w:rFonts w:hint="default" w:ascii="Times New Roman" w:hAnsi="Times New Roman" w:cs="Times New Roman"/>
                <w:kern w:val="0"/>
                <w:sz w:val="21"/>
                <w:szCs w:val="21"/>
              </w:rPr>
            </w:pPr>
            <w:r>
              <w:rPr>
                <w:rFonts w:hint="default" w:ascii="Times New Roman" w:hAnsi="Times New Roman" w:cs="Times New Roman"/>
                <w:kern w:val="0"/>
                <w:sz w:val="21"/>
                <w:szCs w:val="21"/>
              </w:rPr>
              <w:t>3.09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340" w:hRule="atLeast"/>
          <w:jc w:val="center"/>
        </w:trPr>
        <w:tc>
          <w:tcPr>
            <w:tcW w:w="2944" w:type="dxa"/>
            <w:tcBorders>
              <w:tl2br w:val="nil"/>
              <w:tr2bl w:val="nil"/>
            </w:tcBorders>
            <w:vAlign w:val="center"/>
          </w:tcPr>
          <w:p>
            <w:pPr>
              <w:adjustRightInd w:val="0"/>
              <w:snapToGrid w:val="0"/>
              <w:jc w:val="center"/>
              <w:rPr>
                <w:rFonts w:hint="default" w:ascii="Times New Roman" w:hAnsi="Times New Roman" w:cs="Times New Roman"/>
                <w:kern w:val="24"/>
                <w:sz w:val="21"/>
                <w:szCs w:val="21"/>
              </w:rPr>
            </w:pPr>
            <w:r>
              <w:rPr>
                <w:rFonts w:hint="default" w:ascii="Times New Roman" w:hAnsi="Times New Roman" w:cs="Times New Roman"/>
                <w:kern w:val="24"/>
                <w:sz w:val="21"/>
                <w:szCs w:val="21"/>
              </w:rPr>
              <w:t>不稳定(A,B)</w:t>
            </w:r>
          </w:p>
        </w:tc>
        <w:tc>
          <w:tcPr>
            <w:tcW w:w="1133"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1.57</w:t>
            </w:r>
          </w:p>
        </w:tc>
        <w:tc>
          <w:tcPr>
            <w:tcW w:w="1420"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4.16</w:t>
            </w:r>
          </w:p>
        </w:tc>
        <w:tc>
          <w:tcPr>
            <w:tcW w:w="1416"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4.59</w:t>
            </w:r>
          </w:p>
        </w:tc>
        <w:tc>
          <w:tcPr>
            <w:tcW w:w="1609"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6.97</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340" w:hRule="atLeast"/>
          <w:jc w:val="center"/>
        </w:trPr>
        <w:tc>
          <w:tcPr>
            <w:tcW w:w="2944" w:type="dxa"/>
            <w:tcBorders>
              <w:tl2br w:val="nil"/>
              <w:tr2bl w:val="nil"/>
            </w:tcBorders>
            <w:vAlign w:val="center"/>
          </w:tcPr>
          <w:p>
            <w:pPr>
              <w:adjustRightInd w:val="0"/>
              <w:snapToGrid w:val="0"/>
              <w:jc w:val="center"/>
              <w:rPr>
                <w:rFonts w:hint="default" w:ascii="Times New Roman" w:hAnsi="Times New Roman" w:cs="Times New Roman"/>
                <w:kern w:val="24"/>
                <w:sz w:val="21"/>
                <w:szCs w:val="21"/>
              </w:rPr>
            </w:pPr>
            <w:r>
              <w:rPr>
                <w:rFonts w:hint="default" w:ascii="Times New Roman" w:hAnsi="Times New Roman" w:cs="Times New Roman"/>
                <w:kern w:val="24"/>
                <w:sz w:val="21"/>
                <w:szCs w:val="21"/>
              </w:rPr>
              <w:t>中性(D)</w:t>
            </w:r>
          </w:p>
        </w:tc>
        <w:tc>
          <w:tcPr>
            <w:tcW w:w="1133"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1.76</w:t>
            </w:r>
          </w:p>
        </w:tc>
        <w:tc>
          <w:tcPr>
            <w:tcW w:w="1420"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4.42</w:t>
            </w:r>
          </w:p>
        </w:tc>
        <w:tc>
          <w:tcPr>
            <w:tcW w:w="1416"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4.76</w:t>
            </w:r>
          </w:p>
        </w:tc>
        <w:tc>
          <w:tcPr>
            <w:tcW w:w="1609"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7.24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340" w:hRule="atLeast"/>
          <w:jc w:val="center"/>
        </w:trPr>
        <w:tc>
          <w:tcPr>
            <w:tcW w:w="2944" w:type="dxa"/>
            <w:tcBorders>
              <w:tl2br w:val="nil"/>
              <w:tr2bl w:val="nil"/>
            </w:tcBorders>
            <w:vAlign w:val="center"/>
          </w:tcPr>
          <w:p>
            <w:pPr>
              <w:adjustRightInd w:val="0"/>
              <w:snapToGrid w:val="0"/>
              <w:jc w:val="center"/>
              <w:rPr>
                <w:rFonts w:hint="default" w:ascii="Times New Roman" w:hAnsi="Times New Roman" w:cs="Times New Roman"/>
                <w:kern w:val="24"/>
                <w:sz w:val="21"/>
                <w:szCs w:val="21"/>
              </w:rPr>
            </w:pPr>
            <w:r>
              <w:rPr>
                <w:rFonts w:hint="default" w:ascii="Times New Roman" w:hAnsi="Times New Roman" w:cs="Times New Roman"/>
                <w:kern w:val="24"/>
                <w:sz w:val="21"/>
                <w:szCs w:val="21"/>
              </w:rPr>
              <w:t>稳定(E,F)</w:t>
            </w:r>
          </w:p>
        </w:tc>
        <w:tc>
          <w:tcPr>
            <w:tcW w:w="1133"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1.89</w:t>
            </w:r>
          </w:p>
        </w:tc>
        <w:tc>
          <w:tcPr>
            <w:tcW w:w="1420"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4.52</w:t>
            </w:r>
          </w:p>
        </w:tc>
        <w:tc>
          <w:tcPr>
            <w:tcW w:w="1416"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4.78</w:t>
            </w:r>
          </w:p>
        </w:tc>
        <w:tc>
          <w:tcPr>
            <w:tcW w:w="1609" w:type="dxa"/>
            <w:tcBorders>
              <w:tl2br w:val="nil"/>
              <w:tr2bl w:val="nil"/>
            </w:tcBorders>
            <w:vAlign w:val="center"/>
          </w:tcPr>
          <w:p>
            <w:pPr>
              <w:adjustRightInd w:val="0"/>
              <w:snapToGrid w:val="0"/>
              <w:jc w:val="center"/>
              <w:rPr>
                <w:rFonts w:hint="default" w:ascii="Times New Roman" w:hAnsi="Times New Roman" w:cs="Times New Roman"/>
                <w:sz w:val="21"/>
                <w:szCs w:val="21"/>
              </w:rPr>
            </w:pPr>
            <w:r>
              <w:rPr>
                <w:rFonts w:hint="default" w:ascii="Times New Roman" w:hAnsi="Times New Roman" w:cs="Times New Roman"/>
                <w:sz w:val="21"/>
                <w:szCs w:val="21"/>
              </w:rPr>
              <w:t>7.26</w:t>
            </w:r>
          </w:p>
        </w:tc>
      </w:tr>
    </w:tbl>
    <w:p>
      <w:pPr>
        <w:pStyle w:val="5"/>
        <w:bidi w:val="0"/>
        <w:rPr>
          <w:rFonts w:hint="eastAsia"/>
          <w:lang w:val="en-US" w:eastAsia="zh-CN"/>
        </w:rPr>
      </w:pPr>
      <w:bookmarkStart w:id="362" w:name="_Toc405278309"/>
      <w:bookmarkStart w:id="363" w:name="_Toc24214"/>
      <w:bookmarkStart w:id="364" w:name="_Toc27765"/>
      <w:r>
        <w:rPr>
          <w:rFonts w:hint="eastAsia"/>
          <w:lang w:val="en-US" w:eastAsia="zh-CN"/>
        </w:rPr>
        <w:t>5.3.3液氨储罐泄露源强分析</w:t>
      </w:r>
      <w:bookmarkEnd w:id="362"/>
      <w:bookmarkEnd w:id="363"/>
      <w:bookmarkEnd w:id="364"/>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储罐典型泄露发生在罐体与外界连接部位，本次评价假定管路系统损坏导致液氨储罐泄露。液氨储罐为50m</w:t>
      </w:r>
      <w:r>
        <w:rPr>
          <w:rFonts w:hint="default" w:ascii="Times New Roman" w:hAnsi="Times New Roman" w:cs="Times New Roman"/>
          <w:sz w:val="24"/>
          <w:vertAlign w:val="superscript"/>
        </w:rPr>
        <w:t>3</w:t>
      </w:r>
      <w:r>
        <w:rPr>
          <w:rFonts w:hint="default" w:ascii="Times New Roman" w:hAnsi="Times New Roman" w:cs="Times New Roman"/>
          <w:sz w:val="24"/>
        </w:rPr>
        <w:t>球罐，直径为2.34m，操作压力为115</w:t>
      </w:r>
      <w:r>
        <w:rPr>
          <w:rFonts w:hint="default" w:ascii="Times New Roman" w:hAnsi="Times New Roman" w:cs="Times New Roman"/>
          <w:snapToGrid w:val="0"/>
          <w:sz w:val="24"/>
        </w:rPr>
        <w:t>kPa。操作温度为40℃，装填系数为0.90，总储存量为27t，储罐出口结合管直径为20mm，考虑100%泄露，根据</w:t>
      </w:r>
      <w:r>
        <w:rPr>
          <w:rFonts w:hint="default" w:ascii="Times New Roman" w:hAnsi="Times New Roman" w:cs="Times New Roman"/>
          <w:sz w:val="24"/>
        </w:rPr>
        <w:t>《建设项目环境风险评价技术导则》(HJ/T169-20</w:t>
      </w:r>
      <w:r>
        <w:rPr>
          <w:rFonts w:hint="eastAsia" w:ascii="Times New Roman" w:hAnsi="Times New Roman" w:cs="Times New Roman"/>
          <w:sz w:val="24"/>
          <w:lang w:val="en-US" w:eastAsia="zh-CN"/>
        </w:rPr>
        <w:t>18</w:t>
      </w:r>
      <w:r>
        <w:rPr>
          <w:rFonts w:hint="default" w:ascii="Times New Roman" w:hAnsi="Times New Roman" w:cs="Times New Roman"/>
          <w:sz w:val="24"/>
        </w:rPr>
        <w:t>)液体泄漏速率计算公式计算：</w:t>
      </w:r>
    </w:p>
    <w:p>
      <w:pPr>
        <w:pStyle w:val="41"/>
        <w:widowControl w:val="0"/>
        <w:spacing w:line="480" w:lineRule="exact"/>
        <w:outlineLvl w:val="9"/>
        <w:rPr>
          <w:rFonts w:asciiTheme="minorEastAsia" w:hAnsiTheme="minorEastAsia" w:eastAsiaTheme="minorEastAsia"/>
          <w:kern w:val="2"/>
          <w:sz w:val="24"/>
          <w:szCs w:val="24"/>
        </w:rPr>
      </w:pPr>
      <w:r>
        <w:rPr>
          <w:rFonts w:asciiTheme="minorEastAsia" w:hAnsiTheme="minorEastAsia" w:eastAsiaTheme="minorEastAsia"/>
          <w:kern w:val="2"/>
          <w:sz w:val="24"/>
          <w:szCs w:val="24"/>
        </w:rPr>
        <w:drawing>
          <wp:anchor distT="0" distB="0" distL="114300" distR="114300" simplePos="0" relativeHeight="251663360" behindDoc="0" locked="0" layoutInCell="1" allowOverlap="1">
            <wp:simplePos x="0" y="0"/>
            <wp:positionH relativeFrom="column">
              <wp:posOffset>1143000</wp:posOffset>
            </wp:positionH>
            <wp:positionV relativeFrom="paragraph">
              <wp:posOffset>78740</wp:posOffset>
            </wp:positionV>
            <wp:extent cx="1828165" cy="487680"/>
            <wp:effectExtent l="0" t="0" r="635" b="6985"/>
            <wp:wrapNone/>
            <wp:docPr id="26" name="对象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对象 22"/>
                    <pic:cNvPicPr>
                      <a:picLocks noChangeAspect="1"/>
                    </pic:cNvPicPr>
                  </pic:nvPicPr>
                  <pic:blipFill>
                    <a:blip r:embed="rId41"/>
                    <a:stretch>
                      <a:fillRect/>
                    </a:stretch>
                  </pic:blipFill>
                  <pic:spPr>
                    <a:xfrm>
                      <a:off x="0" y="0"/>
                      <a:ext cx="1828165" cy="487680"/>
                    </a:xfrm>
                    <a:prstGeom prst="rect">
                      <a:avLst/>
                    </a:prstGeom>
                    <a:noFill/>
                    <a:ln>
                      <a:noFill/>
                    </a:ln>
                  </pic:spPr>
                </pic:pic>
              </a:graphicData>
            </a:graphic>
          </wp:anchor>
        </w:drawing>
      </w:r>
      <w:r>
        <w:rPr>
          <w:rFonts w:asciiTheme="minorEastAsia" w:hAnsiTheme="minorEastAsia" w:eastAsiaTheme="minorEastAsia"/>
          <w:kern w:val="2"/>
          <w:sz w:val="24"/>
          <w:szCs w:val="24"/>
        </w:rPr>
        <w:t xml:space="preserve">                                        </w:t>
      </w:r>
    </w:p>
    <w:p>
      <w:pPr>
        <w:spacing w:line="480" w:lineRule="exact"/>
        <w:rPr>
          <w:rFonts w:asciiTheme="minorEastAsia" w:hAnsiTheme="minorEastAsia"/>
          <w:sz w:val="24"/>
        </w:rPr>
      </w:pP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式中：</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i/>
          <w:sz w:val="24"/>
          <w:szCs w:val="24"/>
        </w:rPr>
        <w:t>Q</w:t>
      </w:r>
      <w:r>
        <w:rPr>
          <w:rFonts w:hint="default" w:ascii="Times New Roman" w:hAnsi="Times New Roman" w:cs="Times New Roman"/>
          <w:i/>
          <w:sz w:val="24"/>
          <w:szCs w:val="24"/>
          <w:vertAlign w:val="subscript"/>
        </w:rPr>
        <w:t>L</w:t>
      </w:r>
      <w:r>
        <w:rPr>
          <w:rFonts w:hint="default" w:ascii="Times New Roman" w:hAnsi="Times New Roman" w:cs="Times New Roman"/>
          <w:sz w:val="24"/>
          <w:szCs w:val="24"/>
        </w:rPr>
        <w:t>——液体泄漏速度，kg/s；</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i/>
          <w:sz w:val="24"/>
          <w:szCs w:val="24"/>
        </w:rPr>
        <w:t>C</w:t>
      </w:r>
      <w:r>
        <w:rPr>
          <w:rFonts w:hint="default" w:ascii="Times New Roman" w:hAnsi="Times New Roman" w:cs="Times New Roman"/>
          <w:i/>
          <w:sz w:val="24"/>
          <w:szCs w:val="24"/>
          <w:vertAlign w:val="subscript"/>
        </w:rPr>
        <w:t>d</w:t>
      </w:r>
      <w:r>
        <w:rPr>
          <w:rFonts w:hint="default" w:ascii="Times New Roman" w:hAnsi="Times New Roman" w:cs="Times New Roman"/>
          <w:sz w:val="24"/>
          <w:szCs w:val="24"/>
        </w:rPr>
        <w:t>——液体泄漏系数，此值常用0.6-0.64。</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i/>
          <w:sz w:val="24"/>
          <w:szCs w:val="24"/>
        </w:rPr>
        <w:t>A</w:t>
      </w:r>
      <w:r>
        <w:rPr>
          <w:rFonts w:hint="default" w:ascii="Times New Roman" w:hAnsi="Times New Roman" w:cs="Times New Roman"/>
          <w:sz w:val="24"/>
          <w:szCs w:val="24"/>
        </w:rPr>
        <w:t>——裂口面积，m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 xml:space="preserve">；        </w:t>
      </w:r>
      <w:r>
        <w:rPr>
          <w:rFonts w:hint="default" w:ascii="Times New Roman" w:hAnsi="Times New Roman" w:cs="Times New Roman"/>
          <w:i/>
          <w:sz w:val="24"/>
          <w:szCs w:val="24"/>
        </w:rPr>
        <w:t>h</w:t>
      </w:r>
      <w:r>
        <w:rPr>
          <w:rFonts w:hint="default" w:ascii="Times New Roman" w:hAnsi="Times New Roman" w:cs="Times New Roman"/>
          <w:sz w:val="24"/>
          <w:szCs w:val="24"/>
        </w:rPr>
        <w:t xml:space="preserve"> ——裂口之上液位高度，m。</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i/>
          <w:sz w:val="24"/>
          <w:szCs w:val="24"/>
        </w:rPr>
        <w:t>P</w:t>
      </w:r>
      <w:r>
        <w:rPr>
          <w:rFonts w:hint="default" w:ascii="Times New Roman" w:hAnsi="Times New Roman" w:cs="Times New Roman"/>
          <w:sz w:val="24"/>
          <w:szCs w:val="24"/>
        </w:rPr>
        <w:t xml:space="preserve">——容器内介质压力，Pa；  </w:t>
      </w:r>
      <w:r>
        <w:rPr>
          <w:rFonts w:hint="default" w:ascii="Times New Roman" w:hAnsi="Times New Roman" w:cs="Times New Roman"/>
          <w:i/>
          <w:sz w:val="24"/>
          <w:szCs w:val="24"/>
        </w:rPr>
        <w:t>P</w:t>
      </w:r>
      <w:r>
        <w:rPr>
          <w:rFonts w:hint="default" w:ascii="Times New Roman" w:hAnsi="Times New Roman" w:cs="Times New Roman"/>
          <w:i/>
          <w:sz w:val="24"/>
          <w:szCs w:val="24"/>
          <w:vertAlign w:val="subscript"/>
        </w:rPr>
        <w:t>0</w:t>
      </w:r>
      <w:r>
        <w:rPr>
          <w:rFonts w:hint="default" w:ascii="Times New Roman" w:hAnsi="Times New Roman" w:cs="Times New Roman"/>
          <w:sz w:val="24"/>
          <w:szCs w:val="24"/>
        </w:rPr>
        <w:t>——环境压力，Pa；</w:t>
      </w:r>
    </w:p>
    <w:p>
      <w:pPr>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         ρ——液体密度，kg/m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w:t>
      </w:r>
      <w:r>
        <w:rPr>
          <w:rFonts w:hint="default" w:ascii="Times New Roman" w:hAnsi="Times New Roman" w:cs="Times New Roman"/>
          <w:sz w:val="24"/>
          <w:szCs w:val="24"/>
        </w:rPr>
        <w:tab/>
      </w:r>
      <w:r>
        <w:rPr>
          <w:rFonts w:hint="default" w:ascii="Times New Roman" w:hAnsi="Times New Roman" w:cs="Times New Roman"/>
          <w:sz w:val="24"/>
          <w:szCs w:val="24"/>
        </w:rPr>
        <w:tab/>
      </w:r>
      <w:r>
        <w:rPr>
          <w:rFonts w:hint="default" w:ascii="Times New Roman" w:hAnsi="Times New Roman" w:cs="Times New Roman"/>
          <w:sz w:val="24"/>
          <w:szCs w:val="24"/>
        </w:rPr>
        <w:t xml:space="preserve"> </w:t>
      </w:r>
      <w:r>
        <w:rPr>
          <w:rFonts w:hint="default" w:ascii="Times New Roman" w:hAnsi="Times New Roman" w:cs="Times New Roman"/>
          <w:i/>
          <w:sz w:val="24"/>
          <w:szCs w:val="24"/>
        </w:rPr>
        <w:t>g</w:t>
      </w:r>
      <w:r>
        <w:rPr>
          <w:rFonts w:hint="default" w:ascii="Times New Roman" w:hAnsi="Times New Roman" w:cs="Times New Roman"/>
          <w:sz w:val="24"/>
          <w:szCs w:val="24"/>
        </w:rPr>
        <w:t xml:space="preserve"> ——重力加速度。</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cs="Times New Roman"/>
          <w:sz w:val="24"/>
          <w:szCs w:val="24"/>
        </w:rPr>
      </w:pPr>
      <w:r>
        <w:rPr>
          <w:rFonts w:hint="default" w:ascii="Times New Roman" w:hAnsi="Times New Roman" w:cs="Times New Roman"/>
          <w:sz w:val="24"/>
          <w:szCs w:val="24"/>
        </w:rPr>
        <w:t>本次评价液氨属于易挥发物质，泄漏后按最不利情况考虑，液氨全部闪蒸，气蒸发量取其泄漏量的100%，具体见表</w:t>
      </w:r>
      <w:r>
        <w:rPr>
          <w:rFonts w:hint="eastAsia" w:ascii="Times New Roman" w:hAnsi="Times New Roman" w:cs="Times New Roman"/>
          <w:sz w:val="24"/>
          <w:szCs w:val="24"/>
          <w:lang w:val="en-US" w:eastAsia="zh-CN"/>
        </w:rPr>
        <w:t>5.3</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6</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Times New Roman" w:hAnsi="Times New Roman" w:cs="Times New Roman"/>
          <w:b/>
          <w:kern w:val="0"/>
          <w:sz w:val="24"/>
          <w:szCs w:val="24"/>
        </w:rPr>
      </w:pPr>
      <w:r>
        <w:rPr>
          <w:rFonts w:hint="default" w:ascii="Times New Roman" w:hAnsi="Times New Roman" w:cs="Times New Roman"/>
          <w:b/>
          <w:kern w:val="0"/>
          <w:sz w:val="24"/>
          <w:szCs w:val="24"/>
        </w:rPr>
        <w:t>表</w:t>
      </w:r>
      <w:r>
        <w:rPr>
          <w:rFonts w:hint="eastAsia" w:ascii="Times New Roman" w:hAnsi="Times New Roman" w:cs="Times New Roman"/>
          <w:b/>
          <w:kern w:val="0"/>
          <w:sz w:val="24"/>
          <w:szCs w:val="24"/>
          <w:lang w:val="en-US" w:eastAsia="zh-CN"/>
        </w:rPr>
        <w:t>5.3</w:t>
      </w:r>
      <w:r>
        <w:rPr>
          <w:rFonts w:hint="default" w:ascii="Times New Roman" w:hAnsi="Times New Roman" w:cs="Times New Roman"/>
          <w:b/>
          <w:kern w:val="0"/>
          <w:sz w:val="24"/>
          <w:szCs w:val="24"/>
          <w:lang w:val="en-US" w:eastAsia="zh-CN"/>
        </w:rPr>
        <w:t>-</w:t>
      </w:r>
      <w:r>
        <w:rPr>
          <w:rFonts w:hint="eastAsia" w:ascii="Times New Roman" w:hAnsi="Times New Roman" w:cs="Times New Roman"/>
          <w:b/>
          <w:kern w:val="0"/>
          <w:sz w:val="24"/>
          <w:szCs w:val="24"/>
          <w:lang w:val="en-US" w:eastAsia="zh-CN"/>
        </w:rPr>
        <w:t>6</w:t>
      </w:r>
      <w:r>
        <w:rPr>
          <w:rFonts w:hint="default" w:ascii="Times New Roman" w:hAnsi="Times New Roman" w:cs="Times New Roman"/>
          <w:b/>
          <w:kern w:val="0"/>
          <w:sz w:val="24"/>
          <w:szCs w:val="24"/>
        </w:rPr>
        <w:t xml:space="preserve">   液氨贮罐源强参数和预测源强计算结果一览表</w:t>
      </w:r>
    </w:p>
    <w:tbl>
      <w:tblPr>
        <w:tblStyle w:val="21"/>
        <w:tblW w:w="0" w:type="auto"/>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094"/>
        <w:gridCol w:w="4174"/>
        <w:gridCol w:w="3254"/>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事故工况与源强参数</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液氨</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事故类型</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贮罐泄漏</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环境压力P</w:t>
            </w:r>
            <w:r>
              <w:rPr>
                <w:rFonts w:hint="default" w:ascii="Times New Roman" w:hAnsi="Times New Roman" w:eastAsia="宋体" w:cs="Times New Roman"/>
                <w:sz w:val="21"/>
                <w:szCs w:val="21"/>
                <w:vertAlign w:val="subscript"/>
              </w:rPr>
              <w:t>0</w:t>
            </w:r>
            <w:r>
              <w:rPr>
                <w:rFonts w:hint="default" w:ascii="Times New Roman" w:hAnsi="Times New Roman" w:eastAsia="宋体" w:cs="Times New Roman"/>
                <w:sz w:val="21"/>
                <w:szCs w:val="21"/>
              </w:rPr>
              <w:t>（Pa）</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89830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贮罐压力P（Pa）</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115000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环境温度(℃)</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年平均风速（m/s）</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液体密度ρ(kg/m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液体常压下沸点(℃)</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-33.5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贮罐内蒸汽压（Pa）</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115796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裂口面积（m</w:t>
            </w:r>
            <w:r>
              <w:rPr>
                <w:rFonts w:hint="default" w:ascii="Times New Roman" w:hAnsi="Times New Roman" w:eastAsia="宋体" w:cs="Times New Roman"/>
                <w:sz w:val="21"/>
                <w:szCs w:val="21"/>
                <w:vertAlign w:val="superscript"/>
              </w:rPr>
              <w:t>2</w:t>
            </w:r>
            <w:r>
              <w:rPr>
                <w:rFonts w:hint="default" w:ascii="Times New Roman" w:hAnsi="Times New Roman" w:eastAsia="宋体" w:cs="Times New Roman"/>
                <w:sz w:val="21"/>
                <w:szCs w:val="21"/>
              </w:rPr>
              <w:t>）</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0.000314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液位高度（m）</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液体泄漏系数</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0.64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jc w:val="center"/>
        </w:trPr>
        <w:tc>
          <w:tcPr>
            <w:tcW w:w="109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w:t>
            </w:r>
          </w:p>
        </w:tc>
        <w:tc>
          <w:tcPr>
            <w:tcW w:w="417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泄漏速率Q</w:t>
            </w:r>
            <w:r>
              <w:rPr>
                <w:rFonts w:hint="default" w:ascii="Times New Roman" w:hAnsi="Times New Roman" w:eastAsia="宋体" w:cs="Times New Roman"/>
                <w:sz w:val="21"/>
                <w:szCs w:val="21"/>
                <w:vertAlign w:val="subscript"/>
              </w:rPr>
              <w:t>G</w:t>
            </w:r>
            <w:r>
              <w:rPr>
                <w:rFonts w:hint="default" w:ascii="Times New Roman" w:hAnsi="Times New Roman" w:eastAsia="宋体" w:cs="Times New Roman"/>
                <w:sz w:val="21"/>
                <w:szCs w:val="21"/>
              </w:rPr>
              <w:t>（kg/s）</w:t>
            </w:r>
          </w:p>
        </w:tc>
        <w:tc>
          <w:tcPr>
            <w:tcW w:w="3254" w:type="dxa"/>
            <w:tcBorders>
              <w:tl2br w:val="nil"/>
              <w:tr2bl w:val="nil"/>
            </w:tcBorders>
            <w:vAlign w:val="center"/>
          </w:tcPr>
          <w:p>
            <w:pPr>
              <w:spacing w:line="240" w:lineRule="auto"/>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w:t>
            </w:r>
          </w:p>
        </w:tc>
      </w:tr>
    </w:tbl>
    <w:p>
      <w:pPr>
        <w:pStyle w:val="5"/>
        <w:bidi w:val="0"/>
        <w:rPr>
          <w:rFonts w:hint="eastAsia"/>
          <w:lang w:val="en-US" w:eastAsia="zh-CN"/>
        </w:rPr>
      </w:pPr>
      <w:bookmarkStart w:id="365" w:name="_Toc21856"/>
      <w:bookmarkStart w:id="366" w:name="_Toc405278310"/>
      <w:bookmarkStart w:id="367" w:name="_Toc17191"/>
      <w:r>
        <w:rPr>
          <w:rFonts w:hint="eastAsia"/>
          <w:lang w:val="en-US" w:eastAsia="zh-CN"/>
        </w:rPr>
        <w:t>5.3.4甲醇储罐泄露事故源强分析</w:t>
      </w:r>
      <w:bookmarkEnd w:id="365"/>
      <w:bookmarkEnd w:id="366"/>
      <w:bookmarkEnd w:id="367"/>
    </w:p>
    <w:p>
      <w:pPr>
        <w:pStyle w:val="39"/>
        <w:keepNext w:val="0"/>
        <w:keepLines w:val="0"/>
        <w:pageBreakBefore w:val="0"/>
        <w:widowControl w:val="0"/>
        <w:kinsoku/>
        <w:wordWrap/>
        <w:overflowPunct/>
        <w:topLinePunct w:val="0"/>
        <w:autoSpaceDE/>
        <w:autoSpaceDN/>
        <w:bidi w:val="0"/>
        <w:spacing w:line="560" w:lineRule="exact"/>
        <w:ind w:firstLine="480"/>
        <w:textAlignment w:val="auto"/>
        <w:rPr>
          <w:rFonts w:hint="default" w:ascii="Times New Roman" w:hAnsi="Times New Roman" w:cs="Times New Roman" w:eastAsiaTheme="minorEastAsia"/>
        </w:rPr>
      </w:pPr>
      <w:r>
        <w:rPr>
          <w:rFonts w:hint="default" w:ascii="Times New Roman" w:hAnsi="Times New Roman" w:cs="Times New Roman" w:eastAsiaTheme="minorEastAsia"/>
        </w:rPr>
        <w:t>甲醇罐区内有2个1000m</w:t>
      </w:r>
      <w:r>
        <w:rPr>
          <w:rFonts w:hint="default" w:ascii="Times New Roman" w:hAnsi="Times New Roman" w:cs="Times New Roman" w:eastAsiaTheme="minorEastAsia"/>
          <w:vertAlign w:val="superscript"/>
        </w:rPr>
        <w:t>3</w:t>
      </w:r>
      <w:r>
        <w:rPr>
          <w:rFonts w:hint="default" w:ascii="Times New Roman" w:hAnsi="Times New Roman" w:cs="Times New Roman" w:eastAsiaTheme="minorEastAsia"/>
        </w:rPr>
        <w:t>的甲醇罐，常温，常压，罐区围堰为25.0×25.0×1.5m。事故泄漏源强为：常温常压操作，1个标准大气压下20℃时一个甲醇储罐与其输送管道的连接处（接头）发生泄漏，假设和甲醇罐接口的管道发生100%断裂。 设定泄漏孔径为10cm，储罐发生泄漏后，监控系统中的嗅敏仪检测到罐区范围内甲醇超标，确定事故发生并启动事故报警，控制人员启动事故应急系统，工作人员迅速采取行动，迅速采取行动带压堵漏，并对防火堤甲醇进行泡沫覆盖，泄漏事故在10分钟内得到控制。</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根据储罐设计规范，储罐要建防火堤，防火堤高度为1.5m。甲醇泄漏后，一边蒸发到空气中，一边在罐区迅速扩散，受防火堤阻挡，形成液池。</w: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甲醇的沸点高于环境温度，因此只考虑质量蒸发，按照《建设项目环境风险评价技术导则》附录A.2.4.3的计算公式计算质量蒸发量。计算公式如下：</w:t>
      </w:r>
    </w:p>
    <w:p>
      <w:pPr>
        <w:keepNext w:val="0"/>
        <w:keepLines w:val="0"/>
        <w:pageBreakBefore w:val="0"/>
        <w:widowControl w:val="0"/>
        <w:kinsoku/>
        <w:wordWrap/>
        <w:overflowPunct/>
        <w:topLinePunct w:val="0"/>
        <w:autoSpaceDE/>
        <w:autoSpaceDN/>
        <w:bidi w:val="0"/>
        <w:spacing w:line="560" w:lineRule="exact"/>
        <w:ind w:firstLine="1396" w:firstLineChars="582"/>
        <w:textAlignment w:val="auto"/>
        <w:rPr>
          <w:rFonts w:hint="default" w:ascii="Times New Roman" w:hAnsi="Times New Roman" w:cs="Times New Roman"/>
          <w:sz w:val="24"/>
          <w:lang w:val="de-DE"/>
        </w:rPr>
      </w:pPr>
      <w:r>
        <w:rPr>
          <w:rFonts w:hint="default" w:ascii="Times New Roman" w:hAnsi="Times New Roman" w:cs="Times New Roman"/>
          <w:sz w:val="24"/>
          <w:lang w:val="de-DE"/>
        </w:rPr>
        <w:t>Q</w:t>
      </w:r>
      <w:r>
        <w:rPr>
          <w:rFonts w:hint="default" w:ascii="Times New Roman" w:hAnsi="Times New Roman" w:cs="Times New Roman"/>
          <w:sz w:val="24"/>
          <w:vertAlign w:val="subscript"/>
          <w:lang w:val="de-DE"/>
        </w:rPr>
        <w:t>3</w:t>
      </w:r>
      <w:r>
        <w:rPr>
          <w:rFonts w:hint="default" w:ascii="Times New Roman" w:hAnsi="Times New Roman" w:cs="Times New Roman"/>
          <w:sz w:val="24"/>
          <w:lang w:val="de-DE"/>
        </w:rPr>
        <w:t>=</w:t>
      </w:r>
      <w:r>
        <w:rPr>
          <w:rFonts w:hint="default" w:ascii="Times New Roman" w:hAnsi="Times New Roman" w:cs="Times New Roman"/>
          <w:sz w:val="24"/>
        </w:rPr>
        <w:t>α</w:t>
      </w:r>
      <w:r>
        <w:rPr>
          <w:rFonts w:hint="default" w:ascii="Times New Roman" w:hAnsi="Times New Roman" w:cs="Times New Roman"/>
          <w:sz w:val="24"/>
          <w:lang w:val="de-DE"/>
        </w:rPr>
        <w:t>×p×M/(R×T</w:t>
      </w:r>
      <w:r>
        <w:rPr>
          <w:rFonts w:hint="default" w:ascii="Times New Roman" w:hAnsi="Times New Roman" w:cs="Times New Roman"/>
          <w:sz w:val="24"/>
          <w:vertAlign w:val="subscript"/>
          <w:lang w:val="de-DE"/>
        </w:rPr>
        <w:t>0</w:t>
      </w:r>
      <w:r>
        <w:rPr>
          <w:rFonts w:hint="default" w:ascii="Times New Roman" w:hAnsi="Times New Roman" w:cs="Times New Roman"/>
          <w:sz w:val="24"/>
          <w:lang w:val="de-DE"/>
        </w:rPr>
        <w:t>)×u</w:t>
      </w:r>
      <w:r>
        <w:rPr>
          <w:rFonts w:hint="default" w:ascii="Times New Roman" w:hAnsi="Times New Roman" w:cs="Times New Roman"/>
          <w:sz w:val="24"/>
          <w:vertAlign w:val="superscript"/>
          <w:lang w:val="de-DE"/>
        </w:rPr>
        <w:t>(2-n)/(2+n)</w:t>
      </w:r>
      <w:r>
        <w:rPr>
          <w:rFonts w:hint="default" w:ascii="Times New Roman" w:hAnsi="Times New Roman" w:cs="Times New Roman"/>
          <w:sz w:val="24"/>
          <w:lang w:val="de-DE"/>
        </w:rPr>
        <w:t>×r</w:t>
      </w:r>
      <w:r>
        <w:rPr>
          <w:rFonts w:hint="default" w:ascii="Times New Roman" w:hAnsi="Times New Roman" w:cs="Times New Roman"/>
          <w:sz w:val="24"/>
          <w:vertAlign w:val="superscript"/>
          <w:lang w:val="de-DE"/>
        </w:rPr>
        <w:t>(4+n)/(2+n)</w:t>
      </w:r>
    </w:p>
    <w:p>
      <w:pPr>
        <w:keepNext w:val="0"/>
        <w:keepLines w:val="0"/>
        <w:pageBreakBefore w:val="0"/>
        <w:widowControl w:val="0"/>
        <w:kinsoku/>
        <w:wordWrap/>
        <w:overflowPunct/>
        <w:topLinePunct w:val="0"/>
        <w:autoSpaceDE/>
        <w:autoSpaceDN/>
        <w:bidi w:val="0"/>
        <w:spacing w:line="560" w:lineRule="exact"/>
        <w:ind w:firstLine="436" w:firstLineChars="182"/>
        <w:textAlignment w:val="auto"/>
        <w:rPr>
          <w:rFonts w:hint="default" w:ascii="Times New Roman" w:hAnsi="Times New Roman" w:cs="Times New Roman"/>
          <w:sz w:val="24"/>
        </w:rPr>
      </w:pPr>
      <w:r>
        <w:rPr>
          <w:rFonts w:hint="default" w:ascii="Times New Roman" w:hAnsi="Times New Roman" w:cs="Times New Roman"/>
          <w:sz w:val="24"/>
        </w:rPr>
        <w:t>式中：Q</w:t>
      </w:r>
      <w:r>
        <w:rPr>
          <w:rFonts w:hint="default" w:ascii="Times New Roman" w:hAnsi="Times New Roman" w:cs="Times New Roman"/>
          <w:sz w:val="24"/>
          <w:vertAlign w:val="subscript"/>
        </w:rPr>
        <w:t>3</w:t>
      </w:r>
      <w:r>
        <w:rPr>
          <w:rFonts w:hint="default" w:ascii="Times New Roman" w:hAnsi="Times New Roman" w:cs="Times New Roman"/>
          <w:sz w:val="24"/>
        </w:rPr>
        <w:t xml:space="preserve"> — 质量蒸发速度，kg/s；</w:t>
      </w:r>
    </w:p>
    <w:p>
      <w:pPr>
        <w:keepNext w:val="0"/>
        <w:keepLines w:val="0"/>
        <w:pageBreakBefore w:val="0"/>
        <w:widowControl w:val="0"/>
        <w:kinsoku/>
        <w:wordWrap/>
        <w:overflowPunct/>
        <w:topLinePunct w:val="0"/>
        <w:autoSpaceDE/>
        <w:autoSpaceDN/>
        <w:bidi w:val="0"/>
        <w:spacing w:line="560" w:lineRule="exact"/>
        <w:ind w:firstLine="436" w:firstLineChars="182"/>
        <w:textAlignment w:val="auto"/>
        <w:rPr>
          <w:rFonts w:hint="default" w:ascii="Times New Roman" w:hAnsi="Times New Roman" w:cs="Times New Roman"/>
          <w:sz w:val="24"/>
        </w:rPr>
      </w:pPr>
      <w:r>
        <w:rPr>
          <w:rFonts w:hint="default" w:ascii="Times New Roman" w:hAnsi="Times New Roman" w:cs="Times New Roman"/>
          <w:sz w:val="24"/>
        </w:rPr>
        <w:t xml:space="preserve">      a，n — 大气稳定系数，见表6.1-2；   </w:t>
      </w:r>
    </w:p>
    <w:p>
      <w:pPr>
        <w:keepNext w:val="0"/>
        <w:keepLines w:val="0"/>
        <w:pageBreakBefore w:val="0"/>
        <w:widowControl w:val="0"/>
        <w:kinsoku/>
        <w:wordWrap/>
        <w:overflowPunct/>
        <w:topLinePunct w:val="0"/>
        <w:autoSpaceDE/>
        <w:autoSpaceDN/>
        <w:bidi w:val="0"/>
        <w:spacing w:line="560" w:lineRule="exact"/>
        <w:ind w:firstLine="1156" w:firstLineChars="482"/>
        <w:textAlignment w:val="auto"/>
        <w:rPr>
          <w:rFonts w:hint="default" w:ascii="Times New Roman" w:hAnsi="Times New Roman" w:cs="Times New Roman"/>
          <w:sz w:val="24"/>
        </w:rPr>
      </w:pPr>
      <w:r>
        <w:rPr>
          <w:rFonts w:hint="default" w:ascii="Times New Roman" w:hAnsi="Times New Roman" w:cs="Times New Roman"/>
          <w:sz w:val="24"/>
        </w:rPr>
        <w:t>P — 液体表面蒸气压，常温下为13330 Pa；</w:t>
      </w:r>
    </w:p>
    <w:p>
      <w:pPr>
        <w:keepNext w:val="0"/>
        <w:keepLines w:val="0"/>
        <w:pageBreakBefore w:val="0"/>
        <w:widowControl w:val="0"/>
        <w:kinsoku/>
        <w:wordWrap/>
        <w:overflowPunct/>
        <w:topLinePunct w:val="0"/>
        <w:autoSpaceDE/>
        <w:autoSpaceDN/>
        <w:bidi w:val="0"/>
        <w:spacing w:line="560" w:lineRule="exact"/>
        <w:ind w:firstLine="1156" w:firstLineChars="482"/>
        <w:textAlignment w:val="auto"/>
        <w:rPr>
          <w:rFonts w:hint="default" w:ascii="Times New Roman" w:hAnsi="Times New Roman" w:cs="Times New Roman"/>
          <w:sz w:val="24"/>
        </w:rPr>
      </w:pPr>
      <w:r>
        <w:rPr>
          <w:rFonts w:hint="default" w:ascii="Times New Roman" w:hAnsi="Times New Roman" w:cs="Times New Roman"/>
          <w:sz w:val="24"/>
        </w:rPr>
        <w:t>R — 气体常数，J/mol·K；</w:t>
      </w:r>
    </w:p>
    <w:p>
      <w:pPr>
        <w:keepNext w:val="0"/>
        <w:keepLines w:val="0"/>
        <w:pageBreakBefore w:val="0"/>
        <w:widowControl w:val="0"/>
        <w:kinsoku/>
        <w:wordWrap/>
        <w:overflowPunct/>
        <w:topLinePunct w:val="0"/>
        <w:autoSpaceDE/>
        <w:autoSpaceDN/>
        <w:bidi w:val="0"/>
        <w:spacing w:line="560" w:lineRule="exact"/>
        <w:ind w:firstLine="1156" w:firstLineChars="482"/>
        <w:textAlignment w:val="auto"/>
        <w:rPr>
          <w:rFonts w:hint="default" w:ascii="Times New Roman" w:hAnsi="Times New Roman" w:cs="Times New Roman"/>
          <w:sz w:val="24"/>
        </w:rPr>
      </w:pPr>
      <w:r>
        <w:rPr>
          <w:rFonts w:hint="default" w:ascii="Times New Roman" w:hAnsi="Times New Roman" w:cs="Times New Roman"/>
          <w:sz w:val="24"/>
        </w:rPr>
        <w:t>T</w:t>
      </w:r>
      <w:r>
        <w:rPr>
          <w:rFonts w:hint="default" w:ascii="Times New Roman" w:hAnsi="Times New Roman" w:cs="Times New Roman"/>
          <w:sz w:val="24"/>
          <w:vertAlign w:val="subscript"/>
        </w:rPr>
        <w:t>0</w:t>
      </w:r>
      <w:r>
        <w:rPr>
          <w:rFonts w:hint="default" w:ascii="Times New Roman" w:hAnsi="Times New Roman" w:cs="Times New Roman"/>
          <w:sz w:val="24"/>
        </w:rPr>
        <w:t xml:space="preserve"> — 环境温度，K；</w:t>
      </w:r>
    </w:p>
    <w:p>
      <w:pPr>
        <w:keepNext w:val="0"/>
        <w:keepLines w:val="0"/>
        <w:pageBreakBefore w:val="0"/>
        <w:widowControl w:val="0"/>
        <w:kinsoku/>
        <w:wordWrap/>
        <w:overflowPunct/>
        <w:topLinePunct w:val="0"/>
        <w:autoSpaceDE/>
        <w:autoSpaceDN/>
        <w:bidi w:val="0"/>
        <w:spacing w:line="560" w:lineRule="exact"/>
        <w:ind w:firstLine="1156" w:firstLineChars="482"/>
        <w:textAlignment w:val="auto"/>
        <w:rPr>
          <w:rFonts w:hint="default" w:ascii="Times New Roman" w:hAnsi="Times New Roman" w:cs="Times New Roman"/>
          <w:sz w:val="24"/>
        </w:rPr>
      </w:pPr>
      <w:r>
        <w:rPr>
          <w:rFonts w:hint="default" w:ascii="Times New Roman" w:hAnsi="Times New Roman" w:cs="Times New Roman"/>
          <w:sz w:val="24"/>
        </w:rPr>
        <w:t>U — 风速，m/s；</w:t>
      </w:r>
    </w:p>
    <w:p>
      <w:pPr>
        <w:keepNext w:val="0"/>
        <w:keepLines w:val="0"/>
        <w:pageBreakBefore w:val="0"/>
        <w:widowControl w:val="0"/>
        <w:kinsoku/>
        <w:wordWrap/>
        <w:overflowPunct/>
        <w:topLinePunct w:val="0"/>
        <w:autoSpaceDE/>
        <w:autoSpaceDN/>
        <w:bidi w:val="0"/>
        <w:adjustRightInd/>
        <w:snapToGrid/>
        <w:spacing w:line="560" w:lineRule="exact"/>
        <w:ind w:firstLine="1156" w:firstLineChars="482"/>
        <w:textAlignment w:val="auto"/>
        <w:rPr>
          <w:rFonts w:hint="default" w:ascii="Times New Roman" w:hAnsi="Times New Roman" w:cs="Times New Roman"/>
          <w:sz w:val="24"/>
        </w:rPr>
      </w:pPr>
      <w:r>
        <w:rPr>
          <w:rFonts w:hint="default" w:ascii="Times New Roman" w:hAnsi="Times New Roman" w:cs="Times New Roman"/>
          <w:sz w:val="24"/>
        </w:rPr>
        <w:t>r — 液池半径，m。</w:t>
      </w:r>
    </w:p>
    <w:p>
      <w:pPr>
        <w:keepNext w:val="0"/>
        <w:keepLines w:val="0"/>
        <w:pageBreakBefore w:val="0"/>
        <w:widowControl w:val="0"/>
        <w:kinsoku/>
        <w:wordWrap/>
        <w:overflowPunct/>
        <w:topLinePunct w:val="0"/>
        <w:autoSpaceDE/>
        <w:autoSpaceDN/>
        <w:bidi w:val="0"/>
        <w:adjustRightInd/>
        <w:snapToGrid/>
        <w:spacing w:line="560" w:lineRule="exact"/>
        <w:ind w:firstLine="436" w:firstLineChars="182"/>
        <w:textAlignment w:val="auto"/>
        <w:rPr>
          <w:rFonts w:hint="default" w:ascii="Times New Roman" w:hAnsi="Times New Roman" w:cs="Times New Roman"/>
          <w:sz w:val="24"/>
          <w:szCs w:val="24"/>
        </w:rPr>
      </w:pPr>
      <w:r>
        <w:rPr>
          <w:rFonts w:hint="default" w:ascii="Times New Roman" w:hAnsi="Times New Roman" w:cs="Times New Roman"/>
          <w:sz w:val="24"/>
          <w:szCs w:val="24"/>
        </w:rPr>
        <w:t>假设发生泄漏10分钟后，通过应急措施时使泄漏得到遏止，泄漏出来的甲醇液体的质量蒸发速率见下表</w:t>
      </w:r>
      <w:r>
        <w:rPr>
          <w:rFonts w:hint="eastAsia" w:ascii="Times New Roman" w:hAnsi="Times New Roman" w:cs="Times New Roman"/>
          <w:sz w:val="24"/>
          <w:szCs w:val="24"/>
          <w:lang w:val="en-US" w:eastAsia="zh-CN"/>
        </w:rPr>
        <w:t>5.3</w:t>
      </w:r>
      <w:r>
        <w:rPr>
          <w:rFonts w:hint="default" w:ascii="Times New Roman" w:hAnsi="Times New Roman" w:cs="Times New Roman"/>
          <w:sz w:val="24"/>
          <w:szCs w:val="24"/>
          <w:lang w:val="en-US" w:eastAsia="zh-CN"/>
        </w:rPr>
        <w:t>-7</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spacing w:line="560" w:lineRule="exact"/>
        <w:ind w:firstLine="1282" w:firstLineChars="532"/>
        <w:jc w:val="center"/>
        <w:textAlignment w:val="auto"/>
        <w:rPr>
          <w:rFonts w:hint="default" w:ascii="Times New Roman" w:hAnsi="Times New Roman" w:cs="Times New Roman"/>
          <w:sz w:val="24"/>
          <w:szCs w:val="24"/>
        </w:rPr>
      </w:pPr>
      <w:r>
        <w:rPr>
          <w:rFonts w:hint="default" w:ascii="Times New Roman" w:hAnsi="Times New Roman" w:cs="Times New Roman"/>
          <w:b/>
          <w:sz w:val="24"/>
          <w:szCs w:val="24"/>
        </w:rPr>
        <w:t>表</w:t>
      </w:r>
      <w:r>
        <w:rPr>
          <w:rFonts w:hint="eastAsia" w:ascii="Times New Roman" w:hAnsi="Times New Roman" w:cs="Times New Roman"/>
          <w:b/>
          <w:sz w:val="24"/>
          <w:szCs w:val="24"/>
          <w:lang w:val="en-US" w:eastAsia="zh-CN"/>
        </w:rPr>
        <w:t>5.3</w:t>
      </w:r>
      <w:r>
        <w:rPr>
          <w:rFonts w:hint="default" w:ascii="Times New Roman" w:hAnsi="Times New Roman" w:cs="Times New Roman"/>
          <w:b/>
          <w:sz w:val="24"/>
          <w:szCs w:val="24"/>
          <w:lang w:val="en-US" w:eastAsia="zh-CN"/>
        </w:rPr>
        <w:t xml:space="preserve">-7 </w:t>
      </w:r>
      <w:r>
        <w:rPr>
          <w:rFonts w:hint="default" w:ascii="Times New Roman" w:hAnsi="Times New Roman" w:cs="Times New Roman"/>
          <w:b/>
          <w:sz w:val="24"/>
          <w:szCs w:val="24"/>
        </w:rPr>
        <w:t xml:space="preserve">  甲醇液体质量挥发速率</w:t>
      </w:r>
    </w:p>
    <w:tbl>
      <w:tblPr>
        <w:tblStyle w:val="21"/>
        <w:tblW w:w="0" w:type="auto"/>
        <w:tblInd w:w="0" w:type="dxa"/>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2944"/>
        <w:gridCol w:w="1133"/>
        <w:gridCol w:w="1420"/>
        <w:gridCol w:w="1416"/>
        <w:gridCol w:w="1609"/>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trPr>
        <w:tc>
          <w:tcPr>
            <w:tcW w:w="2944" w:type="dxa"/>
            <w:vMerge w:val="restart"/>
            <w:tcBorders>
              <w:tl2br w:val="nil"/>
              <w:tr2bl w:val="nil"/>
            </w:tcBorders>
            <w:vAlign w:val="center"/>
          </w:tcPr>
          <w:p>
            <w:pPr>
              <w:adjustRightInd w:val="0"/>
              <w:snapToGrid w:val="0"/>
              <w:jc w:val="center"/>
              <w:rPr>
                <w:rFonts w:asciiTheme="minorEastAsia" w:hAnsiTheme="minorEastAsia"/>
                <w:kern w:val="24"/>
                <w:sz w:val="18"/>
                <w:szCs w:val="18"/>
              </w:rPr>
            </w:pPr>
            <w:r>
              <w:rPr>
                <w:rFonts w:asciiTheme="minorEastAsia" w:hAnsiTheme="minorEastAsia"/>
                <w:kern w:val="24"/>
                <w:sz w:val="18"/>
                <w:szCs w:val="18"/>
              </w:rPr>
              <w:t xml:space="preserve">             风速（m/s）</w:t>
            </w:r>
          </w:p>
          <w:p>
            <w:pPr>
              <w:adjustRightInd w:val="0"/>
              <w:snapToGrid w:val="0"/>
              <w:rPr>
                <w:rFonts w:asciiTheme="minorEastAsia" w:hAnsiTheme="minorEastAsia"/>
                <w:kern w:val="24"/>
                <w:sz w:val="18"/>
                <w:szCs w:val="18"/>
              </w:rPr>
            </w:pPr>
            <w:r>
              <w:rPr>
                <w:rFonts w:asciiTheme="minorEastAsia" w:hAnsiTheme="minorEastAsia"/>
                <w:kern w:val="24"/>
                <w:sz w:val="18"/>
                <w:szCs w:val="18"/>
              </w:rPr>
              <w:t>稳定度条件</w:t>
            </w:r>
          </w:p>
        </w:tc>
        <w:tc>
          <w:tcPr>
            <w:tcW w:w="5578" w:type="dxa"/>
            <w:gridSpan w:val="4"/>
            <w:tcBorders>
              <w:tl2br w:val="nil"/>
              <w:tr2bl w:val="nil"/>
            </w:tcBorders>
            <w:vAlign w:val="center"/>
          </w:tcPr>
          <w:p>
            <w:pPr>
              <w:adjustRightInd w:val="0"/>
              <w:snapToGrid w:val="0"/>
              <w:jc w:val="center"/>
              <w:rPr>
                <w:rFonts w:asciiTheme="minorEastAsia" w:hAnsiTheme="minorEastAsia"/>
                <w:kern w:val="24"/>
                <w:sz w:val="18"/>
                <w:szCs w:val="18"/>
              </w:rPr>
            </w:pPr>
            <w:r>
              <w:rPr>
                <w:rFonts w:asciiTheme="minorEastAsia" w:hAnsiTheme="minorEastAsia"/>
                <w:kern w:val="24"/>
                <w:sz w:val="18"/>
                <w:szCs w:val="18"/>
              </w:rPr>
              <w:t>质量蒸发速度（Q</w:t>
            </w:r>
            <w:r>
              <w:rPr>
                <w:rFonts w:asciiTheme="minorEastAsia" w:hAnsiTheme="minorEastAsia"/>
                <w:kern w:val="24"/>
                <w:sz w:val="18"/>
                <w:szCs w:val="18"/>
                <w:vertAlign w:val="subscript"/>
              </w:rPr>
              <w:t>3</w:t>
            </w:r>
            <w:r>
              <w:rPr>
                <w:rFonts w:asciiTheme="minorEastAsia" w:hAnsiTheme="minorEastAsia"/>
                <w:kern w:val="24"/>
                <w:sz w:val="18"/>
                <w:szCs w:val="18"/>
              </w:rPr>
              <w:t>）  kg/s</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trPr>
        <w:tc>
          <w:tcPr>
            <w:tcW w:w="2944" w:type="dxa"/>
            <w:vMerge w:val="continue"/>
            <w:tcBorders>
              <w:tl2br w:val="nil"/>
              <w:tr2bl w:val="nil"/>
            </w:tcBorders>
            <w:vAlign w:val="center"/>
          </w:tcPr>
          <w:p>
            <w:pPr>
              <w:adjustRightInd w:val="0"/>
              <w:snapToGrid w:val="0"/>
              <w:jc w:val="center"/>
              <w:rPr>
                <w:rFonts w:asciiTheme="minorEastAsia" w:hAnsiTheme="minorEastAsia"/>
                <w:kern w:val="24"/>
                <w:sz w:val="18"/>
                <w:szCs w:val="18"/>
              </w:rPr>
            </w:pPr>
          </w:p>
        </w:tc>
        <w:tc>
          <w:tcPr>
            <w:tcW w:w="1133" w:type="dxa"/>
            <w:tcBorders>
              <w:tl2br w:val="nil"/>
              <w:tr2bl w:val="nil"/>
            </w:tcBorders>
            <w:vAlign w:val="center"/>
          </w:tcPr>
          <w:p>
            <w:pPr>
              <w:widowControl/>
              <w:adjustRightInd w:val="0"/>
              <w:snapToGrid w:val="0"/>
              <w:jc w:val="center"/>
              <w:rPr>
                <w:rFonts w:asciiTheme="minorEastAsia" w:hAnsiTheme="minorEastAsia"/>
                <w:kern w:val="0"/>
                <w:sz w:val="18"/>
                <w:szCs w:val="18"/>
              </w:rPr>
            </w:pPr>
            <w:r>
              <w:rPr>
                <w:rFonts w:asciiTheme="minorEastAsia" w:hAnsiTheme="minorEastAsia"/>
                <w:kern w:val="0"/>
                <w:sz w:val="18"/>
                <w:szCs w:val="18"/>
              </w:rPr>
              <w:t>0.5</w:t>
            </w:r>
          </w:p>
        </w:tc>
        <w:tc>
          <w:tcPr>
            <w:tcW w:w="1420" w:type="dxa"/>
            <w:tcBorders>
              <w:tl2br w:val="nil"/>
              <w:tr2bl w:val="nil"/>
            </w:tcBorders>
            <w:vAlign w:val="center"/>
          </w:tcPr>
          <w:p>
            <w:pPr>
              <w:widowControl/>
              <w:adjustRightInd w:val="0"/>
              <w:snapToGrid w:val="0"/>
              <w:jc w:val="center"/>
              <w:rPr>
                <w:rFonts w:asciiTheme="minorEastAsia" w:hAnsiTheme="minorEastAsia"/>
                <w:kern w:val="0"/>
                <w:sz w:val="18"/>
                <w:szCs w:val="18"/>
              </w:rPr>
            </w:pPr>
            <w:r>
              <w:rPr>
                <w:rFonts w:asciiTheme="minorEastAsia" w:hAnsiTheme="minorEastAsia"/>
                <w:kern w:val="0"/>
                <w:sz w:val="18"/>
                <w:szCs w:val="18"/>
              </w:rPr>
              <w:t>1. 5</w:t>
            </w:r>
          </w:p>
        </w:tc>
        <w:tc>
          <w:tcPr>
            <w:tcW w:w="1416" w:type="dxa"/>
            <w:tcBorders>
              <w:tl2br w:val="nil"/>
              <w:tr2bl w:val="nil"/>
            </w:tcBorders>
            <w:vAlign w:val="center"/>
          </w:tcPr>
          <w:p>
            <w:pPr>
              <w:widowControl/>
              <w:adjustRightInd w:val="0"/>
              <w:snapToGrid w:val="0"/>
              <w:jc w:val="center"/>
              <w:rPr>
                <w:rFonts w:asciiTheme="minorEastAsia" w:hAnsiTheme="minorEastAsia"/>
                <w:kern w:val="0"/>
                <w:sz w:val="18"/>
                <w:szCs w:val="18"/>
              </w:rPr>
            </w:pPr>
            <w:r>
              <w:rPr>
                <w:rFonts w:asciiTheme="minorEastAsia" w:hAnsiTheme="minorEastAsia"/>
                <w:kern w:val="0"/>
                <w:sz w:val="18"/>
                <w:szCs w:val="18"/>
              </w:rPr>
              <w:t>2.02</w:t>
            </w:r>
          </w:p>
        </w:tc>
        <w:tc>
          <w:tcPr>
            <w:tcW w:w="1609" w:type="dxa"/>
            <w:tcBorders>
              <w:tl2br w:val="nil"/>
              <w:tr2bl w:val="nil"/>
            </w:tcBorders>
            <w:vAlign w:val="center"/>
          </w:tcPr>
          <w:p>
            <w:pPr>
              <w:widowControl/>
              <w:adjustRightInd w:val="0"/>
              <w:snapToGrid w:val="0"/>
              <w:jc w:val="center"/>
              <w:rPr>
                <w:rFonts w:asciiTheme="minorEastAsia" w:hAnsiTheme="minorEastAsia"/>
                <w:kern w:val="0"/>
                <w:sz w:val="18"/>
                <w:szCs w:val="18"/>
              </w:rPr>
            </w:pPr>
            <w:r>
              <w:rPr>
                <w:rFonts w:asciiTheme="minorEastAsia" w:hAnsiTheme="minorEastAsia"/>
                <w:kern w:val="0"/>
                <w:sz w:val="18"/>
                <w:szCs w:val="18"/>
              </w:rPr>
              <w:t>3.09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trPr>
        <w:tc>
          <w:tcPr>
            <w:tcW w:w="2944" w:type="dxa"/>
            <w:tcBorders>
              <w:tl2br w:val="nil"/>
              <w:tr2bl w:val="nil"/>
            </w:tcBorders>
            <w:vAlign w:val="center"/>
          </w:tcPr>
          <w:p>
            <w:pPr>
              <w:adjustRightInd w:val="0"/>
              <w:snapToGrid w:val="0"/>
              <w:jc w:val="center"/>
              <w:rPr>
                <w:rFonts w:asciiTheme="minorEastAsia" w:hAnsiTheme="minorEastAsia"/>
                <w:kern w:val="24"/>
                <w:sz w:val="18"/>
                <w:szCs w:val="18"/>
              </w:rPr>
            </w:pPr>
            <w:r>
              <w:rPr>
                <w:rFonts w:asciiTheme="minorEastAsia" w:hAnsiTheme="minorEastAsia"/>
                <w:kern w:val="24"/>
                <w:sz w:val="18"/>
                <w:szCs w:val="18"/>
              </w:rPr>
              <w:t>不稳定(A,B)</w:t>
            </w:r>
          </w:p>
        </w:tc>
        <w:tc>
          <w:tcPr>
            <w:tcW w:w="1133"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0.046</w:t>
            </w:r>
          </w:p>
        </w:tc>
        <w:tc>
          <w:tcPr>
            <w:tcW w:w="1420"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0.11</w:t>
            </w:r>
          </w:p>
        </w:tc>
        <w:tc>
          <w:tcPr>
            <w:tcW w:w="1416"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0.146</w:t>
            </w:r>
          </w:p>
        </w:tc>
        <w:tc>
          <w:tcPr>
            <w:tcW w:w="1609"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0.21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trPr>
        <w:tc>
          <w:tcPr>
            <w:tcW w:w="2944" w:type="dxa"/>
            <w:tcBorders>
              <w:tl2br w:val="nil"/>
              <w:tr2bl w:val="nil"/>
            </w:tcBorders>
            <w:vAlign w:val="center"/>
          </w:tcPr>
          <w:p>
            <w:pPr>
              <w:adjustRightInd w:val="0"/>
              <w:snapToGrid w:val="0"/>
              <w:jc w:val="center"/>
              <w:rPr>
                <w:rFonts w:asciiTheme="minorEastAsia" w:hAnsiTheme="minorEastAsia"/>
                <w:kern w:val="24"/>
                <w:sz w:val="18"/>
                <w:szCs w:val="18"/>
              </w:rPr>
            </w:pPr>
            <w:r>
              <w:rPr>
                <w:rFonts w:asciiTheme="minorEastAsia" w:hAnsiTheme="minorEastAsia"/>
                <w:kern w:val="24"/>
                <w:sz w:val="18"/>
                <w:szCs w:val="18"/>
              </w:rPr>
              <w:t>中性(D)</w:t>
            </w:r>
          </w:p>
        </w:tc>
        <w:tc>
          <w:tcPr>
            <w:tcW w:w="1133"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0.056</w:t>
            </w:r>
          </w:p>
        </w:tc>
        <w:tc>
          <w:tcPr>
            <w:tcW w:w="1420"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0.13</w:t>
            </w:r>
          </w:p>
        </w:tc>
        <w:tc>
          <w:tcPr>
            <w:tcW w:w="1416"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0.164</w:t>
            </w:r>
          </w:p>
        </w:tc>
        <w:tc>
          <w:tcPr>
            <w:tcW w:w="1609"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0.23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cantSplit/>
          <w:trHeight w:val="227" w:hRule="atLeast"/>
        </w:trPr>
        <w:tc>
          <w:tcPr>
            <w:tcW w:w="2944" w:type="dxa"/>
            <w:tcBorders>
              <w:tl2br w:val="nil"/>
              <w:tr2bl w:val="nil"/>
            </w:tcBorders>
            <w:vAlign w:val="center"/>
          </w:tcPr>
          <w:p>
            <w:pPr>
              <w:adjustRightInd w:val="0"/>
              <w:snapToGrid w:val="0"/>
              <w:jc w:val="center"/>
              <w:rPr>
                <w:rFonts w:asciiTheme="minorEastAsia" w:hAnsiTheme="minorEastAsia"/>
                <w:kern w:val="24"/>
                <w:sz w:val="18"/>
                <w:szCs w:val="18"/>
              </w:rPr>
            </w:pPr>
            <w:r>
              <w:rPr>
                <w:rFonts w:asciiTheme="minorEastAsia" w:hAnsiTheme="minorEastAsia"/>
                <w:kern w:val="24"/>
                <w:sz w:val="18"/>
                <w:szCs w:val="18"/>
              </w:rPr>
              <w:t>稳定(E,F)</w:t>
            </w:r>
          </w:p>
        </w:tc>
        <w:tc>
          <w:tcPr>
            <w:tcW w:w="1133"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0.061</w:t>
            </w:r>
          </w:p>
        </w:tc>
        <w:tc>
          <w:tcPr>
            <w:tcW w:w="1420"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0.138</w:t>
            </w:r>
          </w:p>
        </w:tc>
        <w:tc>
          <w:tcPr>
            <w:tcW w:w="1416"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0.17</w:t>
            </w:r>
          </w:p>
        </w:tc>
        <w:tc>
          <w:tcPr>
            <w:tcW w:w="1609" w:type="dxa"/>
            <w:tcBorders>
              <w:tl2br w:val="nil"/>
              <w:tr2bl w:val="nil"/>
            </w:tcBorders>
            <w:vAlign w:val="center"/>
          </w:tcPr>
          <w:p>
            <w:pPr>
              <w:adjustRightInd w:val="0"/>
              <w:snapToGrid w:val="0"/>
              <w:jc w:val="center"/>
              <w:rPr>
                <w:rFonts w:asciiTheme="minorEastAsia" w:hAnsiTheme="minorEastAsia"/>
                <w:sz w:val="18"/>
                <w:szCs w:val="18"/>
              </w:rPr>
            </w:pPr>
            <w:r>
              <w:rPr>
                <w:rFonts w:asciiTheme="minorEastAsia" w:hAnsiTheme="minorEastAsia"/>
                <w:sz w:val="18"/>
                <w:szCs w:val="18"/>
              </w:rPr>
              <w:t>0.24</w:t>
            </w:r>
          </w:p>
        </w:tc>
      </w:tr>
    </w:tbl>
    <w:p>
      <w:pPr>
        <w:pStyle w:val="5"/>
        <w:bidi w:val="0"/>
        <w:rPr>
          <w:rFonts w:hint="default"/>
          <w:lang w:val="en-US" w:eastAsia="zh-CN"/>
        </w:rPr>
      </w:pPr>
      <w:bookmarkStart w:id="368" w:name="_Toc405278308"/>
      <w:bookmarkStart w:id="369" w:name="_Toc1061"/>
      <w:bookmarkStart w:id="370" w:name="_Toc21409"/>
      <w:r>
        <w:rPr>
          <w:rFonts w:hint="eastAsia"/>
          <w:lang w:val="en-US" w:eastAsia="zh-CN"/>
        </w:rPr>
        <w:t>5.3.5硫磺回收装置酸性气体泄露</w:t>
      </w:r>
      <w:bookmarkEnd w:id="368"/>
      <w:r>
        <w:rPr>
          <w:rFonts w:hint="eastAsia"/>
          <w:lang w:val="en-US" w:eastAsia="zh-CN"/>
        </w:rPr>
        <w:t>源强分析</w:t>
      </w:r>
      <w:bookmarkEnd w:id="369"/>
      <w:bookmarkEnd w:id="370"/>
    </w:p>
    <w:p>
      <w:pPr>
        <w:pStyle w:val="7"/>
        <w:keepNext w:val="0"/>
        <w:keepLines w:val="0"/>
        <w:pageBreakBefore w:val="0"/>
        <w:widowControl w:val="0"/>
        <w:kinsoku/>
        <w:wordWrap/>
        <w:overflowPunct/>
        <w:topLinePunct w:val="0"/>
        <w:autoSpaceDE/>
        <w:autoSpaceDN/>
        <w:bidi w:val="0"/>
        <w:adjustRightInd/>
        <w:snapToGrid/>
        <w:spacing w:line="560" w:lineRule="exact"/>
        <w:ind w:firstLine="480"/>
        <w:jc w:val="left"/>
        <w:textAlignment w:val="auto"/>
        <w:rPr>
          <w:rFonts w:hint="default" w:ascii="Times New Roman" w:hAnsi="Times New Roman" w:cs="Times New Roman" w:eastAsiaTheme="minorEastAsia"/>
          <w:sz w:val="24"/>
        </w:rPr>
      </w:pPr>
      <w:r>
        <w:rPr>
          <w:rFonts w:hint="eastAsia" w:ascii="Times New Roman" w:hAnsi="Times New Roman" w:cs="Times New Roman" w:eastAsiaTheme="minorEastAsia"/>
          <w:sz w:val="24"/>
          <w:lang w:val="en-US" w:eastAsia="zh-CN"/>
        </w:rPr>
        <w:t>当硫磺回收装置故障，导致酸性气体直接排放</w:t>
      </w:r>
      <w:r>
        <w:rPr>
          <w:rFonts w:hint="default" w:ascii="Times New Roman" w:hAnsi="Times New Roman" w:cs="Times New Roman" w:eastAsiaTheme="minorEastAsia"/>
          <w:sz w:val="24"/>
        </w:rPr>
        <w:t>。酸性气管线直径为150mm，操作温度为40</w:t>
      </w:r>
      <w:r>
        <w:rPr>
          <w:rFonts w:hint="default" w:ascii="Times New Roman" w:hAnsi="Times New Roman" w:cs="Times New Roman" w:eastAsiaTheme="minorEastAsia"/>
          <w:snapToGrid w:val="0"/>
          <w:sz w:val="24"/>
        </w:rPr>
        <w:t>℃，操作压力为0.5MPa。</w:t>
      </w:r>
      <w:r>
        <w:rPr>
          <w:rFonts w:hint="default" w:ascii="Times New Roman" w:hAnsi="Times New Roman" w:cs="Times New Roman" w:eastAsiaTheme="minorEastAsia"/>
          <w:snapToGrid w:val="0"/>
          <w:kern w:val="0"/>
          <w:sz w:val="24"/>
        </w:rPr>
        <w:t>参考《建设项目环境风险评价技术导则》（HJ/T169-2004）附录A2.2（气体泄漏速率）进行计算。具体计算公式如下：</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假定气体的特性是理想气体，气体泄漏速度Q</w:t>
      </w:r>
      <w:r>
        <w:rPr>
          <w:rFonts w:hint="default" w:ascii="Times New Roman" w:hAnsi="Times New Roman" w:cs="Times New Roman"/>
          <w:snapToGrid w:val="0"/>
          <w:kern w:val="0"/>
          <w:sz w:val="24"/>
          <w:vertAlign w:val="subscript"/>
        </w:rPr>
        <w:t>G</w:t>
      </w:r>
      <w:r>
        <w:rPr>
          <w:rFonts w:hint="default" w:ascii="Times New Roman" w:hAnsi="Times New Roman" w:cs="Times New Roman"/>
          <w:snapToGrid w:val="0"/>
          <w:kern w:val="0"/>
          <w:sz w:val="24"/>
        </w:rPr>
        <w:t>按下式计算：</w:t>
      </w:r>
    </w:p>
    <w:p>
      <w:pPr>
        <w:ind w:firstLine="420"/>
        <w:rPr>
          <w:rFonts w:asciiTheme="minorEastAsia" w:hAnsiTheme="minorEastAsia"/>
          <w:sz w:val="24"/>
        </w:rPr>
      </w:pPr>
      <w:r>
        <w:rPr>
          <w:rFonts w:asciiTheme="minorEastAsia" w:hAnsiTheme="minorEastAsia"/>
          <w:sz w:val="24"/>
        </w:rPr>
        <w:object>
          <v:shape id="_x0000_i1030" o:spt="75" type="#_x0000_t75" style="height:51.5pt;width:150pt;" o:ole="t" filled="f" o:preferrelative="t" stroked="f" coordsize="21600,21600">
            <v:path/>
            <v:fill on="f" focussize="0,0"/>
            <v:stroke on="f" joinstyle="miter"/>
            <v:imagedata r:id="rId43" o:title=""/>
            <o:lock v:ext="edit" aspectratio="t"/>
            <w10:wrap type="none"/>
            <w10:anchorlock/>
          </v:shape>
          <o:OLEObject Type="Embed" ProgID="Equation.3" ShapeID="_x0000_i1030" DrawAspect="Content" ObjectID="_1468075730" r:id="rId42">
            <o:LockedField>false</o:LockedField>
          </o:OLEObject>
        </w:object>
      </w:r>
    </w:p>
    <w:p>
      <w:pPr>
        <w:spacing w:line="360" w:lineRule="auto"/>
        <w:ind w:firstLine="420"/>
        <w:rPr>
          <w:rFonts w:hint="default" w:ascii="Times New Roman" w:hAnsi="Times New Roman" w:cs="Times New Roman"/>
          <w:sz w:val="24"/>
        </w:rPr>
      </w:pPr>
      <w:r>
        <w:rPr>
          <w:rFonts w:hint="default" w:ascii="Times New Roman" w:hAnsi="Times New Roman" w:cs="Times New Roman"/>
          <w:sz w:val="24"/>
        </w:rPr>
        <w:t>式中：</w:t>
      </w:r>
    </w:p>
    <w:p>
      <w:pPr>
        <w:spacing w:line="360" w:lineRule="auto"/>
        <w:ind w:firstLine="480" w:firstLineChars="200"/>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Q</w:t>
      </w:r>
      <w:r>
        <w:rPr>
          <w:rFonts w:hint="default" w:ascii="Times New Roman" w:hAnsi="Times New Roman" w:cs="Times New Roman"/>
          <w:snapToGrid w:val="0"/>
          <w:kern w:val="0"/>
          <w:sz w:val="24"/>
          <w:vertAlign w:val="subscript"/>
        </w:rPr>
        <w:t>G</w:t>
      </w:r>
      <w:r>
        <w:rPr>
          <w:rFonts w:hint="default" w:ascii="Times New Roman" w:hAnsi="Times New Roman" w:cs="Times New Roman"/>
          <w:snapToGrid w:val="0"/>
          <w:kern w:val="0"/>
          <w:sz w:val="24"/>
        </w:rPr>
        <w:t>—气体泄漏速度，kg/s；</w:t>
      </w:r>
    </w:p>
    <w:p>
      <w:pPr>
        <w:spacing w:line="360" w:lineRule="auto"/>
        <w:ind w:firstLine="480" w:firstLineChars="200"/>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P—容器压力，Pa；</w:t>
      </w:r>
    </w:p>
    <w:p>
      <w:pPr>
        <w:spacing w:line="360" w:lineRule="auto"/>
        <w:ind w:firstLine="480" w:firstLineChars="200"/>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C</w:t>
      </w:r>
      <w:r>
        <w:rPr>
          <w:rFonts w:hint="default" w:ascii="Times New Roman" w:hAnsi="Times New Roman" w:cs="Times New Roman"/>
          <w:snapToGrid w:val="0"/>
          <w:kern w:val="0"/>
          <w:sz w:val="24"/>
          <w:vertAlign w:val="subscript"/>
        </w:rPr>
        <w:t>d</w:t>
      </w:r>
      <w:r>
        <w:rPr>
          <w:rFonts w:hint="default" w:ascii="Times New Roman" w:hAnsi="Times New Roman" w:cs="Times New Roman"/>
          <w:snapToGrid w:val="0"/>
          <w:kern w:val="0"/>
          <w:sz w:val="24"/>
        </w:rPr>
        <w:t>—气体泄漏系数；当裂口形状位圆形时取1.00，三角形时取0.95，长方形时取0.90；</w:t>
      </w:r>
    </w:p>
    <w:p>
      <w:pPr>
        <w:spacing w:line="360" w:lineRule="auto"/>
        <w:ind w:firstLine="480" w:firstLineChars="200"/>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A—裂口面积，m</w:t>
      </w:r>
      <w:r>
        <w:rPr>
          <w:rFonts w:hint="default" w:ascii="Times New Roman" w:hAnsi="Times New Roman" w:cs="Times New Roman"/>
          <w:snapToGrid w:val="0"/>
          <w:kern w:val="0"/>
          <w:sz w:val="24"/>
          <w:vertAlign w:val="superscript"/>
        </w:rPr>
        <w:t>2</w:t>
      </w:r>
      <w:r>
        <w:rPr>
          <w:rFonts w:hint="default" w:ascii="Times New Roman" w:hAnsi="Times New Roman" w:cs="Times New Roman"/>
          <w:snapToGrid w:val="0"/>
          <w:kern w:val="0"/>
          <w:sz w:val="24"/>
        </w:rPr>
        <w:t>；</w:t>
      </w:r>
    </w:p>
    <w:p>
      <w:pPr>
        <w:spacing w:line="360" w:lineRule="auto"/>
        <w:ind w:firstLine="480" w:firstLineChars="200"/>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M—分子量；</w:t>
      </w:r>
    </w:p>
    <w:p>
      <w:pPr>
        <w:spacing w:line="360" w:lineRule="auto"/>
        <w:ind w:firstLine="480" w:firstLineChars="200"/>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R—气体常数，J/(mol·k)；</w:t>
      </w:r>
    </w:p>
    <w:p>
      <w:pPr>
        <w:spacing w:line="360" w:lineRule="auto"/>
        <w:ind w:firstLine="480" w:firstLineChars="200"/>
        <w:rPr>
          <w:rFonts w:hint="default" w:ascii="Times New Roman" w:hAnsi="Times New Roman" w:cs="Times New Roman"/>
          <w:snapToGrid w:val="0"/>
          <w:kern w:val="0"/>
          <w:sz w:val="24"/>
        </w:rPr>
      </w:pPr>
      <w:r>
        <w:rPr>
          <w:rFonts w:hint="default" w:ascii="Times New Roman" w:hAnsi="Times New Roman" w:cs="Times New Roman"/>
          <w:snapToGrid w:val="0"/>
          <w:kern w:val="0"/>
          <w:sz w:val="24"/>
        </w:rPr>
        <w:t>T</w:t>
      </w:r>
      <w:r>
        <w:rPr>
          <w:rFonts w:hint="default" w:ascii="Times New Roman" w:hAnsi="Times New Roman" w:cs="Times New Roman"/>
          <w:snapToGrid w:val="0"/>
          <w:kern w:val="0"/>
          <w:sz w:val="24"/>
          <w:vertAlign w:val="subscript"/>
        </w:rPr>
        <w:t>G</w:t>
      </w:r>
      <w:r>
        <w:rPr>
          <w:rFonts w:hint="default" w:ascii="Times New Roman" w:hAnsi="Times New Roman" w:cs="Times New Roman"/>
          <w:snapToGrid w:val="0"/>
          <w:kern w:val="0"/>
          <w:sz w:val="24"/>
        </w:rPr>
        <w:t>—气体温度，K；</w:t>
      </w:r>
    </w:p>
    <w:p>
      <w:pPr>
        <w:spacing w:line="360" w:lineRule="auto"/>
        <w:ind w:firstLine="480" w:firstLineChars="200"/>
        <w:rPr>
          <w:rFonts w:asciiTheme="minorEastAsia" w:hAnsiTheme="minorEastAsia"/>
          <w:snapToGrid w:val="0"/>
          <w:kern w:val="0"/>
          <w:sz w:val="24"/>
        </w:rPr>
      </w:pPr>
      <w:r>
        <w:rPr>
          <w:rFonts w:asciiTheme="minorEastAsia" w:hAnsiTheme="minorEastAsia"/>
          <w:snapToGrid w:val="0"/>
          <w:kern w:val="0"/>
          <w:sz w:val="24"/>
        </w:rPr>
        <w:t>Y—流出系数，对于临界流Y=1.0对于次临界流按下式计算：</w:t>
      </w:r>
    </w:p>
    <w:p>
      <w:pPr>
        <w:ind w:firstLine="420"/>
        <w:rPr>
          <w:rFonts w:asciiTheme="minorEastAsia" w:hAnsiTheme="minorEastAsia"/>
          <w:sz w:val="24"/>
        </w:rPr>
      </w:pPr>
      <w:r>
        <w:rPr>
          <w:rFonts w:asciiTheme="minorEastAsia" w:hAnsiTheme="minorEastAsia"/>
          <w:sz w:val="24"/>
        </w:rPr>
        <w:object>
          <v:shape id="_x0000_i1031" o:spt="75" type="#_x0000_t75" style="height:59pt;width:261.5pt;" o:ole="t" filled="f" o:preferrelative="t" stroked="f" coordsize="21600,21600">
            <v:path/>
            <v:fill on="f" focussize="0,0"/>
            <v:stroke on="f" joinstyle="miter"/>
            <v:imagedata r:id="rId45" o:title=""/>
            <o:lock v:ext="edit" aspectratio="t"/>
            <w10:wrap type="none"/>
            <w10:anchorlock/>
          </v:shape>
          <o:OLEObject Type="Embed" ProgID="Equation.3" ShapeID="_x0000_i1031" DrawAspect="Content" ObjectID="_1468075731" r:id="rId44">
            <o:LockedField>false</o:LockedField>
          </o:OLEObject>
        </w:object>
      </w:r>
    </w:p>
    <w:p>
      <w:pPr>
        <w:keepNext w:val="0"/>
        <w:keepLines w:val="0"/>
        <w:pageBreakBefore w:val="0"/>
        <w:widowControl w:val="0"/>
        <w:kinsoku/>
        <w:wordWrap/>
        <w:overflowPunct/>
        <w:topLinePunct w:val="0"/>
        <w:autoSpaceDE/>
        <w:autoSpaceDN/>
        <w:bidi w:val="0"/>
        <w:spacing w:line="560" w:lineRule="exact"/>
        <w:ind w:firstLine="480" w:firstLineChars="200"/>
        <w:textAlignment w:val="auto"/>
        <w:rPr>
          <w:rFonts w:hint="default" w:ascii="Times New Roman" w:hAnsi="Times New Roman" w:eastAsia="宋体" w:cs="Times New Roman"/>
          <w:snapToGrid w:val="0"/>
          <w:kern w:val="0"/>
          <w:sz w:val="24"/>
          <w:szCs w:val="24"/>
        </w:rPr>
      </w:pPr>
      <w:r>
        <w:rPr>
          <w:rFonts w:hint="default" w:ascii="Times New Roman" w:hAnsi="Times New Roman" w:eastAsia="宋体" w:cs="Times New Roman"/>
          <w:snapToGrid w:val="0"/>
          <w:kern w:val="0"/>
          <w:sz w:val="24"/>
          <w:szCs w:val="24"/>
        </w:rPr>
        <w:t>根据上式计算的硫化氢泄漏事故源强，见表</w:t>
      </w:r>
      <w:r>
        <w:rPr>
          <w:rFonts w:hint="eastAsia" w:ascii="Times New Roman" w:hAnsi="Times New Roman" w:eastAsia="宋体" w:cs="Times New Roman"/>
          <w:snapToGrid w:val="0"/>
          <w:kern w:val="0"/>
          <w:sz w:val="24"/>
          <w:szCs w:val="24"/>
          <w:lang w:val="en-US" w:eastAsia="zh-CN"/>
        </w:rPr>
        <w:t>5.3-8</w:t>
      </w:r>
      <w:r>
        <w:rPr>
          <w:rFonts w:hint="default" w:ascii="Times New Roman" w:hAnsi="Times New Roman" w:eastAsia="宋体" w:cs="Times New Roman"/>
          <w:snapToGrid w:val="0"/>
          <w:kern w:val="0"/>
          <w:sz w:val="24"/>
          <w:szCs w:val="24"/>
        </w:rPr>
        <w:t>。</w:t>
      </w:r>
    </w:p>
    <w:p>
      <w:pPr>
        <w:keepNext w:val="0"/>
        <w:keepLines w:val="0"/>
        <w:pageBreakBefore w:val="0"/>
        <w:widowControl w:val="0"/>
        <w:tabs>
          <w:tab w:val="left" w:pos="605"/>
        </w:tabs>
        <w:kinsoku/>
        <w:wordWrap/>
        <w:overflowPunct/>
        <w:topLinePunct w:val="0"/>
        <w:autoSpaceDE/>
        <w:autoSpaceDN/>
        <w:bidi w:val="0"/>
        <w:adjustRightInd w:val="0"/>
        <w:snapToGrid w:val="0"/>
        <w:spacing w:line="560" w:lineRule="exact"/>
        <w:jc w:val="center"/>
        <w:textAlignment w:val="auto"/>
        <w:rPr>
          <w:rFonts w:hint="default" w:ascii="Times New Roman" w:hAnsi="Times New Roman" w:eastAsia="宋体" w:cs="Times New Roman"/>
          <w:b/>
          <w:kern w:val="0"/>
          <w:sz w:val="24"/>
          <w:szCs w:val="24"/>
        </w:rPr>
      </w:pPr>
      <w:r>
        <w:rPr>
          <w:rFonts w:hint="default" w:ascii="Times New Roman" w:hAnsi="Times New Roman" w:eastAsia="宋体" w:cs="Times New Roman"/>
          <w:b/>
          <w:kern w:val="0"/>
          <w:sz w:val="24"/>
          <w:szCs w:val="24"/>
        </w:rPr>
        <w:t>表</w:t>
      </w:r>
      <w:r>
        <w:rPr>
          <w:rFonts w:hint="eastAsia" w:ascii="Times New Roman" w:hAnsi="Times New Roman" w:eastAsia="宋体" w:cs="Times New Roman"/>
          <w:b/>
          <w:kern w:val="0"/>
          <w:sz w:val="24"/>
          <w:szCs w:val="24"/>
          <w:lang w:val="en-US" w:eastAsia="zh-CN"/>
        </w:rPr>
        <w:t>5.3-8</w:t>
      </w:r>
      <w:r>
        <w:rPr>
          <w:rFonts w:hint="default" w:ascii="Times New Roman" w:hAnsi="Times New Roman" w:eastAsia="宋体" w:cs="Times New Roman"/>
          <w:b/>
          <w:kern w:val="0"/>
          <w:sz w:val="24"/>
          <w:szCs w:val="24"/>
          <w:lang w:val="en-US" w:eastAsia="zh-CN"/>
        </w:rPr>
        <w:t xml:space="preserve"> </w:t>
      </w:r>
      <w:r>
        <w:rPr>
          <w:rFonts w:hint="default" w:ascii="Times New Roman" w:hAnsi="Times New Roman" w:eastAsia="宋体" w:cs="Times New Roman"/>
          <w:b/>
          <w:kern w:val="0"/>
          <w:sz w:val="24"/>
          <w:szCs w:val="24"/>
        </w:rPr>
        <w:t xml:space="preserve">  硫磺回收装置H</w:t>
      </w:r>
      <w:r>
        <w:rPr>
          <w:rFonts w:hint="default" w:ascii="Times New Roman" w:hAnsi="Times New Roman" w:eastAsia="宋体" w:cs="Times New Roman"/>
          <w:b/>
          <w:kern w:val="0"/>
          <w:sz w:val="24"/>
          <w:szCs w:val="24"/>
          <w:vertAlign w:val="subscript"/>
        </w:rPr>
        <w:t>2</w:t>
      </w:r>
      <w:r>
        <w:rPr>
          <w:rFonts w:hint="default" w:ascii="Times New Roman" w:hAnsi="Times New Roman" w:eastAsia="宋体" w:cs="Times New Roman"/>
          <w:b/>
          <w:kern w:val="0"/>
          <w:sz w:val="24"/>
          <w:szCs w:val="24"/>
        </w:rPr>
        <w:t>S的泄漏事故源强及有关参数</w:t>
      </w:r>
    </w:p>
    <w:tbl>
      <w:tblPr>
        <w:tblStyle w:val="21"/>
        <w:tblW w:w="0" w:type="auto"/>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7" w:type="dxa"/>
          <w:bottom w:w="0" w:type="dxa"/>
          <w:right w:w="57" w:type="dxa"/>
        </w:tblCellMar>
      </w:tblPr>
      <w:tblGrid>
        <w:gridCol w:w="2069"/>
        <w:gridCol w:w="1960"/>
        <w:gridCol w:w="1228"/>
        <w:gridCol w:w="1228"/>
        <w:gridCol w:w="1024"/>
        <w:gridCol w:w="9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069"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事故</w:t>
            </w:r>
          </w:p>
        </w:tc>
        <w:tc>
          <w:tcPr>
            <w:tcW w:w="1960"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评价因子</w:t>
            </w:r>
          </w:p>
        </w:tc>
        <w:tc>
          <w:tcPr>
            <w:tcW w:w="1228"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释放率</w:t>
            </w:r>
          </w:p>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（kg/s）</w:t>
            </w:r>
          </w:p>
        </w:tc>
        <w:tc>
          <w:tcPr>
            <w:tcW w:w="1228"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释放时间</w:t>
            </w:r>
          </w:p>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（min）</w:t>
            </w:r>
          </w:p>
        </w:tc>
        <w:tc>
          <w:tcPr>
            <w:tcW w:w="1024"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释放量</w:t>
            </w:r>
          </w:p>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（kg）</w:t>
            </w:r>
          </w:p>
        </w:tc>
        <w:tc>
          <w:tcPr>
            <w:tcW w:w="911"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释放高度（m）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2069"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硫磺回收</w:t>
            </w:r>
            <w:r>
              <w:rPr>
                <w:rFonts w:hint="eastAsia" w:ascii="Times New Roman" w:hAnsi="Times New Roman" w:cs="Times New Roman"/>
                <w:kern w:val="0"/>
                <w:sz w:val="21"/>
                <w:szCs w:val="21"/>
                <w:lang w:val="en-US" w:eastAsia="zh-CN"/>
              </w:rPr>
              <w:t>故障</w:t>
            </w:r>
            <w:r>
              <w:rPr>
                <w:rFonts w:hint="default" w:ascii="Times New Roman" w:hAnsi="Times New Roman" w:cs="Times New Roman"/>
                <w:kern w:val="0"/>
                <w:sz w:val="21"/>
                <w:szCs w:val="21"/>
              </w:rPr>
              <w:t>H</w:t>
            </w:r>
            <w:r>
              <w:rPr>
                <w:rFonts w:hint="default" w:ascii="Times New Roman" w:hAnsi="Times New Roman" w:cs="Times New Roman"/>
                <w:kern w:val="0"/>
                <w:sz w:val="21"/>
                <w:szCs w:val="21"/>
                <w:vertAlign w:val="subscript"/>
              </w:rPr>
              <w:t>2</w:t>
            </w:r>
            <w:r>
              <w:rPr>
                <w:rFonts w:hint="default" w:ascii="Times New Roman" w:hAnsi="Times New Roman" w:cs="Times New Roman"/>
                <w:kern w:val="0"/>
                <w:sz w:val="21"/>
                <w:szCs w:val="21"/>
              </w:rPr>
              <w:t>S泄漏</w:t>
            </w:r>
          </w:p>
        </w:tc>
        <w:tc>
          <w:tcPr>
            <w:tcW w:w="1960"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H</w:t>
            </w:r>
            <w:r>
              <w:rPr>
                <w:rFonts w:hint="default" w:ascii="Times New Roman" w:hAnsi="Times New Roman" w:cs="Times New Roman"/>
                <w:kern w:val="0"/>
                <w:sz w:val="21"/>
                <w:szCs w:val="21"/>
                <w:vertAlign w:val="subscript"/>
              </w:rPr>
              <w:t>2</w:t>
            </w:r>
            <w:r>
              <w:rPr>
                <w:rFonts w:hint="default" w:ascii="Times New Roman" w:hAnsi="Times New Roman" w:cs="Times New Roman"/>
                <w:kern w:val="0"/>
                <w:sz w:val="21"/>
                <w:szCs w:val="21"/>
              </w:rPr>
              <w:t>S</w:t>
            </w:r>
          </w:p>
        </w:tc>
        <w:tc>
          <w:tcPr>
            <w:tcW w:w="1228"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1.94</w:t>
            </w:r>
          </w:p>
        </w:tc>
        <w:tc>
          <w:tcPr>
            <w:tcW w:w="1228"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15</w:t>
            </w:r>
          </w:p>
        </w:tc>
        <w:tc>
          <w:tcPr>
            <w:tcW w:w="1024"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1164</w:t>
            </w:r>
          </w:p>
        </w:tc>
        <w:tc>
          <w:tcPr>
            <w:tcW w:w="911" w:type="dxa"/>
            <w:vAlign w:val="center"/>
          </w:tcPr>
          <w:p>
            <w:pPr>
              <w:keepNext w:val="0"/>
              <w:keepLines w:val="0"/>
              <w:pageBreakBefore w:val="0"/>
              <w:widowControl w:val="0"/>
              <w:tabs>
                <w:tab w:val="left" w:pos="277"/>
                <w:tab w:val="left" w:pos="600"/>
                <w:tab w:val="left" w:pos="780"/>
                <w:tab w:val="left" w:pos="2517"/>
              </w:tabs>
              <w:kinsoku/>
              <w:wordWrap/>
              <w:overflowPunct/>
              <w:topLinePunct w:val="0"/>
              <w:autoSpaceDE/>
              <w:autoSpaceDN/>
              <w:bidi w:val="0"/>
              <w:adjustRightInd w:val="0"/>
              <w:snapToGrid w:val="0"/>
              <w:jc w:val="center"/>
              <w:textAlignment w:val="auto"/>
              <w:rPr>
                <w:rFonts w:hint="default" w:ascii="Times New Roman" w:hAnsi="Times New Roman" w:cs="Times New Roman"/>
                <w:kern w:val="0"/>
                <w:sz w:val="21"/>
                <w:szCs w:val="21"/>
              </w:rPr>
            </w:pPr>
            <w:r>
              <w:rPr>
                <w:rFonts w:hint="default" w:ascii="Times New Roman" w:hAnsi="Times New Roman" w:cs="Times New Roman"/>
                <w:kern w:val="0"/>
                <w:sz w:val="21"/>
                <w:szCs w:val="21"/>
              </w:rPr>
              <w:t>5</w:t>
            </w:r>
          </w:p>
        </w:tc>
      </w:tr>
    </w:tbl>
    <w:p>
      <w:pPr>
        <w:pStyle w:val="5"/>
        <w:bidi w:val="0"/>
        <w:rPr>
          <w:rFonts w:hint="default"/>
          <w:lang w:val="en-US" w:eastAsia="zh-CN"/>
        </w:rPr>
      </w:pPr>
      <w:bookmarkStart w:id="371" w:name="_Toc6142"/>
      <w:bookmarkStart w:id="372" w:name="_Toc28725"/>
      <w:r>
        <w:rPr>
          <w:rFonts w:hint="eastAsia"/>
          <w:lang w:val="en-US" w:eastAsia="zh-CN"/>
        </w:rPr>
        <w:t>5.3</w:t>
      </w:r>
      <w:r>
        <w:rPr>
          <w:rFonts w:hint="default"/>
          <w:lang w:val="en-US" w:eastAsia="zh-CN"/>
        </w:rPr>
        <w:t>.6污水处理站运行不正常源强分析</w:t>
      </w:r>
      <w:bookmarkEnd w:id="371"/>
      <w:bookmarkEnd w:id="372"/>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szCs w:val="20"/>
          <w:lang w:val="en-US" w:eastAsia="zh-CN"/>
        </w:rPr>
      </w:pPr>
      <w:r>
        <w:rPr>
          <w:rFonts w:hint="default" w:ascii="Times New Roman" w:hAnsi="Times New Roman" w:cs="Times New Roman"/>
          <w:sz w:val="24"/>
          <w:szCs w:val="20"/>
          <w:lang w:val="en-US" w:eastAsia="zh-CN"/>
        </w:rPr>
        <w:t>企业</w:t>
      </w:r>
      <w:r>
        <w:rPr>
          <w:rFonts w:hint="default" w:ascii="Times New Roman" w:hAnsi="Times New Roman" w:cs="Times New Roman"/>
          <w:sz w:val="24"/>
          <w:szCs w:val="20"/>
        </w:rPr>
        <w:t>建设一座450t/h的综合污水处理场，处理全厂产生的生活污水、含油污水、事故罐废水等。经污水处理场处理后部分废水进入配套建设的150t/h中水深度处理设施，经处理后产品水进入中水系统回用，反渗透浓盐水外排；部分废水水与除盐装置和反渗透装置的浓盐水一起外排至金桥污水处理厂</w:t>
      </w:r>
      <w:r>
        <w:rPr>
          <w:rFonts w:hint="eastAsia" w:ascii="Times New Roman" w:hAnsi="Times New Roman" w:cs="Times New Roman"/>
          <w:sz w:val="24"/>
          <w:szCs w:val="20"/>
          <w:lang w:eastAsia="zh-CN"/>
        </w:rPr>
        <w:t>。</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cs="Times New Roman"/>
          <w:sz w:val="24"/>
          <w:szCs w:val="20"/>
          <w:lang w:val="en-US" w:eastAsia="zh-CN"/>
        </w:rPr>
      </w:pPr>
      <w:r>
        <w:rPr>
          <w:rFonts w:hint="eastAsia" w:ascii="Times New Roman" w:hAnsi="Times New Roman" w:cs="Times New Roman"/>
          <w:sz w:val="24"/>
          <w:szCs w:val="20"/>
          <w:lang w:val="en-US" w:eastAsia="zh-CN"/>
        </w:rPr>
        <w:t>当污水处理站运行不正常，可能导致污水超标排放到管道，从而进入金桥污水处理厂。污水处理站污水排口设置污水在线监测设备并与环保管理部门联网，能够第一时间知道污水处理站处理情况；同时全厂设置了事故池、污水罐；可能存在污水处理站运行不正常导致超标污水外排或污水处理站泄露污染周围环境，但不会造成重大环境突发事件。</w:t>
      </w:r>
    </w:p>
    <w:p>
      <w:pPr>
        <w:pStyle w:val="5"/>
        <w:bidi w:val="0"/>
        <w:rPr>
          <w:rFonts w:hint="default"/>
          <w:lang w:val="en-US" w:eastAsia="zh-CN"/>
        </w:rPr>
      </w:pPr>
      <w:bookmarkStart w:id="373" w:name="_Toc16116"/>
      <w:bookmarkStart w:id="374" w:name="_Toc23909"/>
      <w:bookmarkStart w:id="375" w:name="_Toc19810"/>
      <w:r>
        <w:rPr>
          <w:rFonts w:hint="eastAsia"/>
          <w:lang w:val="en-US" w:eastAsia="zh-CN"/>
        </w:rPr>
        <w:t>5.3.7危险废物</w:t>
      </w:r>
      <w:r>
        <w:rPr>
          <w:rFonts w:hint="default"/>
          <w:lang w:val="en-US" w:eastAsia="zh-CN"/>
        </w:rPr>
        <w:t>事故源强</w:t>
      </w:r>
      <w:bookmarkEnd w:id="373"/>
      <w:bookmarkEnd w:id="374"/>
      <w:bookmarkEnd w:id="375"/>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cs="Times New Roman"/>
          <w:sz w:val="24"/>
          <w:szCs w:val="20"/>
          <w:lang w:val="en-US" w:eastAsia="zh-CN"/>
        </w:rPr>
      </w:pPr>
      <w:r>
        <w:rPr>
          <w:rFonts w:hint="eastAsia" w:ascii="Times New Roman" w:hAnsi="Times New Roman" w:cs="Times New Roman"/>
          <w:sz w:val="24"/>
          <w:szCs w:val="20"/>
          <w:lang w:val="en-US" w:eastAsia="zh-CN"/>
        </w:rPr>
        <w:t>本项目运营中产生多种危险废物，主要处理方式为委托资质单位处置；在危险废物厂内运输、储存过程中可能导致危险废物泄露、随意丢弃或不规范暂存现象，导致危险废物对土壤、周围地表水、地下水造成污染。</w:t>
      </w:r>
    </w:p>
    <w:p>
      <w:pPr>
        <w:pStyle w:val="5"/>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eastAsia="zh-CN"/>
        </w:rPr>
      </w:pPr>
      <w:bookmarkStart w:id="376" w:name="_Toc1616"/>
      <w:r>
        <w:rPr>
          <w:rFonts w:hint="eastAsia" w:ascii="宋体" w:hAnsi="宋体" w:eastAsia="宋体" w:cs="宋体"/>
          <w:color w:val="auto"/>
          <w:highlight w:val="none"/>
          <w:lang w:val="en-US" w:eastAsia="zh-CN"/>
        </w:rPr>
        <w:t>5.3.</w:t>
      </w:r>
      <w:r>
        <w:rPr>
          <w:rFonts w:hint="eastAsia" w:ascii="宋体" w:hAnsi="宋体" w:cs="宋体"/>
          <w:color w:val="auto"/>
          <w:highlight w:val="none"/>
          <w:lang w:val="en-US" w:eastAsia="zh-CN"/>
        </w:rPr>
        <w:t>8</w:t>
      </w:r>
      <w:r>
        <w:rPr>
          <w:rFonts w:hint="eastAsia" w:ascii="宋体" w:hAnsi="宋体" w:eastAsia="宋体" w:cs="宋体"/>
          <w:color w:val="auto"/>
          <w:highlight w:val="none"/>
          <w:lang w:eastAsia="zh-CN"/>
        </w:rPr>
        <w:t>毒性气体泄漏事故后果分析</w:t>
      </w:r>
      <w:bookmarkEnd w:id="376"/>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fldChar w:fldCharType="begin"/>
      </w:r>
      <w:r>
        <w:rPr>
          <w:rFonts w:hint="eastAsia" w:ascii="宋体" w:hAnsi="宋体" w:eastAsia="宋体" w:cs="宋体"/>
          <w:color w:val="auto"/>
          <w:highlight w:val="none"/>
          <w:lang w:val="en-GB"/>
        </w:rPr>
        <w:instrText xml:space="preserve"> = 1 \* GB2 </w:instrText>
      </w:r>
      <w:r>
        <w:rPr>
          <w:rFonts w:hint="eastAsia" w:ascii="宋体" w:hAnsi="宋体" w:eastAsia="宋体" w:cs="宋体"/>
          <w:color w:val="auto"/>
          <w:highlight w:val="none"/>
          <w:lang w:val="en-GB"/>
        </w:rPr>
        <w:fldChar w:fldCharType="separate"/>
      </w:r>
      <w:r>
        <w:rPr>
          <w:rFonts w:hint="eastAsia" w:ascii="宋体" w:hAnsi="宋体" w:eastAsia="宋体" w:cs="宋体"/>
          <w:color w:val="auto"/>
          <w:highlight w:val="none"/>
          <w:lang w:val="en-GB"/>
        </w:rPr>
        <w:t>⑴</w:t>
      </w:r>
      <w:r>
        <w:rPr>
          <w:rFonts w:hint="eastAsia" w:ascii="宋体" w:hAnsi="宋体" w:eastAsia="宋体" w:cs="宋体"/>
          <w:color w:val="auto"/>
          <w:highlight w:val="none"/>
          <w:lang w:val="en-GB"/>
        </w:rPr>
        <w:fldChar w:fldCharType="end"/>
      </w:r>
      <w:r>
        <w:rPr>
          <w:rFonts w:hint="eastAsia" w:ascii="宋体" w:hAnsi="宋体" w:eastAsia="宋体" w:cs="宋体"/>
          <w:color w:val="auto"/>
          <w:highlight w:val="none"/>
        </w:rPr>
        <w:t>泄漏事故对环境保护目标的影响</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rPr>
      </w:pPr>
      <w:r>
        <w:rPr>
          <w:rFonts w:hint="eastAsia" w:ascii="宋体" w:hAnsi="宋体" w:eastAsia="宋体" w:cs="宋体"/>
          <w:color w:val="auto"/>
          <w:highlight w:val="none"/>
        </w:rPr>
        <w:t>由表5.</w:t>
      </w:r>
      <w:r>
        <w:rPr>
          <w:rFonts w:hint="eastAsia" w:ascii="宋体" w:hAnsi="宋体" w:eastAsia="宋体" w:cs="宋体"/>
          <w:color w:val="auto"/>
          <w:highlight w:val="none"/>
          <w:lang w:val="en-US" w:eastAsia="zh-CN"/>
        </w:rPr>
        <w:t>3</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9</w:t>
      </w:r>
      <w:r>
        <w:rPr>
          <w:rFonts w:hint="eastAsia" w:ascii="宋体" w:hAnsi="宋体" w:eastAsia="宋体" w:cs="宋体"/>
          <w:color w:val="auto"/>
          <w:highlight w:val="none"/>
        </w:rPr>
        <w:t>可知，本项目甲醇储罐泄漏事故发生后的半致死浓度最远范围内均没有居民区等厂外环境保护目标，</w:t>
      </w:r>
      <w:r>
        <w:rPr>
          <w:rFonts w:hint="eastAsia" w:ascii="宋体" w:hAnsi="宋体" w:eastAsia="宋体" w:cs="宋体"/>
          <w:color w:val="auto"/>
          <w:highlight w:val="none"/>
          <w:lang w:val="en-GB"/>
        </w:rPr>
        <w:t>需撤离的环境保护目标为本项目厂区内的职工</w:t>
      </w:r>
      <w:r>
        <w:rPr>
          <w:rFonts w:hint="eastAsia" w:ascii="宋体" w:hAnsi="宋体" w:eastAsia="宋体" w:cs="宋体"/>
          <w:color w:val="auto"/>
          <w:highlight w:val="none"/>
        </w:rPr>
        <w:t>。</w:t>
      </w:r>
    </w:p>
    <w:p>
      <w:pPr>
        <w:keepNext w:val="0"/>
        <w:keepLines w:val="0"/>
        <w:pageBreakBefore w:val="0"/>
        <w:widowControl w:val="0"/>
        <w:tabs>
          <w:tab w:val="left" w:pos="605"/>
        </w:tabs>
        <w:kinsoku/>
        <w:wordWrap/>
        <w:overflowPunct/>
        <w:topLinePunct w:val="0"/>
        <w:autoSpaceDE/>
        <w:autoSpaceDN/>
        <w:bidi w:val="0"/>
        <w:adjustRightInd w:val="0"/>
        <w:snapToGrid w:val="0"/>
        <w:spacing w:line="560" w:lineRule="exact"/>
        <w:jc w:val="center"/>
        <w:textAlignment w:val="auto"/>
        <w:rPr>
          <w:rFonts w:hint="eastAsia" w:ascii="Times New Roman" w:hAnsi="Times New Roman" w:eastAsia="宋体" w:cs="Times New Roman"/>
          <w:b/>
          <w:kern w:val="0"/>
          <w:sz w:val="24"/>
          <w:szCs w:val="24"/>
        </w:rPr>
      </w:pPr>
      <w:r>
        <w:rPr>
          <w:rFonts w:hint="eastAsia" w:ascii="Times New Roman" w:hAnsi="Times New Roman" w:eastAsia="宋体" w:cs="Times New Roman"/>
          <w:b/>
          <w:kern w:val="0"/>
          <w:sz w:val="24"/>
          <w:szCs w:val="24"/>
        </w:rPr>
        <w:t>表5.</w:t>
      </w:r>
      <w:r>
        <w:rPr>
          <w:rFonts w:hint="eastAsia" w:ascii="Times New Roman" w:hAnsi="Times New Roman" w:eastAsia="宋体" w:cs="Times New Roman"/>
          <w:b/>
          <w:kern w:val="0"/>
          <w:sz w:val="24"/>
          <w:szCs w:val="24"/>
          <w:lang w:val="en-US" w:eastAsia="zh-CN"/>
        </w:rPr>
        <w:t>3</w:t>
      </w:r>
      <w:r>
        <w:rPr>
          <w:rFonts w:hint="eastAsia" w:ascii="Times New Roman" w:hAnsi="Times New Roman" w:eastAsia="宋体" w:cs="Times New Roman"/>
          <w:b/>
          <w:kern w:val="0"/>
          <w:sz w:val="24"/>
          <w:szCs w:val="24"/>
        </w:rPr>
        <w:t>-</w:t>
      </w:r>
      <w:r>
        <w:rPr>
          <w:rFonts w:hint="eastAsia" w:ascii="Times New Roman" w:hAnsi="Times New Roman" w:eastAsia="宋体" w:cs="Times New Roman"/>
          <w:b/>
          <w:kern w:val="0"/>
          <w:sz w:val="24"/>
          <w:szCs w:val="24"/>
          <w:lang w:val="en-US" w:eastAsia="zh-CN"/>
        </w:rPr>
        <w:t>9</w:t>
      </w:r>
      <w:r>
        <w:rPr>
          <w:rFonts w:hint="eastAsia" w:ascii="Times New Roman" w:hAnsi="Times New Roman" w:eastAsia="宋体" w:cs="Times New Roman"/>
          <w:b/>
          <w:kern w:val="0"/>
          <w:sz w:val="24"/>
          <w:szCs w:val="24"/>
        </w:rPr>
        <w:t xml:space="preserve">  泄漏事故对环境保护目标的影响</w:t>
      </w:r>
    </w:p>
    <w:tbl>
      <w:tblPr>
        <w:tblStyle w:val="21"/>
        <w:tblpPr w:leftFromText="180" w:rightFromText="180" w:vertAnchor="text" w:tblpY="1"/>
        <w:tblOverlap w:val="never"/>
        <w:tblW w:w="4998"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66"/>
        <w:gridCol w:w="1462"/>
        <w:gridCol w:w="1786"/>
        <w:gridCol w:w="897"/>
        <w:gridCol w:w="2276"/>
        <w:gridCol w:w="1132"/>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风险类型</w:t>
            </w:r>
          </w:p>
        </w:tc>
        <w:tc>
          <w:tcPr>
            <w:tcW w:w="86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气象条件</w:t>
            </w: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容许浓度</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影响最远范围</w:t>
            </w:r>
          </w:p>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(m)</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保护目标</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vMerge w:val="restar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甲醇贮罐泄漏</w:t>
            </w:r>
          </w:p>
        </w:tc>
        <w:tc>
          <w:tcPr>
            <w:tcW w:w="864" w:type="pct"/>
            <w:vMerge w:val="restar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不同稳定度</w:t>
            </w:r>
          </w:p>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平均风速</w:t>
            </w: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半致死浓度</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66.8</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厂区职工</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864"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短时间接触容许浓度最远距离</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1125.8</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厂区职工</w:t>
            </w:r>
          </w:p>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周边企业</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864"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居住区最高容许浓度</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1384.9</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厂区职工</w:t>
            </w:r>
          </w:p>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周边企业</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864" w:type="pct"/>
            <w:vMerge w:val="restar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不同稳定度</w:t>
            </w:r>
          </w:p>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静风</w:t>
            </w: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半致死浓度</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18.8</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厂区职工</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864"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短时间接触容许浓度最远距离</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215.3</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厂区职工</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864"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居住区最高容许浓度</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445.2</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厂区职工</w:t>
            </w:r>
          </w:p>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周边企业</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864" w:type="pct"/>
            <w:vMerge w:val="restar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不同稳定度</w:t>
            </w:r>
          </w:p>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小风</w:t>
            </w: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半致死浓度</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104.3</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厂区职工</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864"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短时间接触容许浓度最远距离</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599.2</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厂区职工</w:t>
            </w:r>
          </w:p>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周边企业</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573"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864" w:type="pct"/>
            <w:vMerge w:val="continue"/>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p>
        </w:tc>
        <w:tc>
          <w:tcPr>
            <w:tcW w:w="105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居住区最高容许浓度</w:t>
            </w:r>
          </w:p>
        </w:tc>
        <w:tc>
          <w:tcPr>
            <w:tcW w:w="494"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655.8</w:t>
            </w:r>
          </w:p>
        </w:tc>
        <w:tc>
          <w:tcPr>
            <w:tcW w:w="1341"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厂区职工</w:t>
            </w:r>
          </w:p>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周边企业</w:t>
            </w:r>
          </w:p>
        </w:tc>
        <w:tc>
          <w:tcPr>
            <w:tcW w:w="670" w:type="pct"/>
            <w:noWrap w:val="0"/>
            <w:vAlign w:val="center"/>
          </w:tcPr>
          <w:p>
            <w:pPr>
              <w:pStyle w:val="32"/>
              <w:pageBreakBefore w:val="0"/>
              <w:wordWrap/>
              <w:topLinePunct w:val="0"/>
              <w:bidi w:val="0"/>
              <w:snapToGrid w:val="0"/>
              <w:spacing w:line="240" w:lineRule="auto"/>
              <w:ind w:left="0" w:leftChars="0" w:right="0" w:rightChars="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bl>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⑵事故状态下人员紧急疏散与撤离的注意事项</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fldChar w:fldCharType="begin"/>
      </w:r>
      <w:r>
        <w:rPr>
          <w:rFonts w:hint="eastAsia" w:ascii="宋体" w:hAnsi="宋体" w:eastAsia="宋体" w:cs="宋体"/>
          <w:color w:val="auto"/>
          <w:highlight w:val="none"/>
          <w:lang w:val="en-GB"/>
        </w:rPr>
        <w:instrText xml:space="preserve"> = 1 \* GB3 </w:instrText>
      </w:r>
      <w:r>
        <w:rPr>
          <w:rFonts w:hint="eastAsia" w:ascii="宋体" w:hAnsi="宋体" w:eastAsia="宋体" w:cs="宋体"/>
          <w:color w:val="auto"/>
          <w:highlight w:val="none"/>
          <w:lang w:val="en-GB"/>
        </w:rPr>
        <w:fldChar w:fldCharType="separate"/>
      </w:r>
      <w:r>
        <w:rPr>
          <w:rFonts w:hint="eastAsia" w:ascii="宋体" w:hAnsi="宋体" w:eastAsia="宋体" w:cs="宋体"/>
          <w:color w:val="auto"/>
          <w:highlight w:val="none"/>
          <w:lang w:val="en-GB"/>
        </w:rPr>
        <w:t>①</w:t>
      </w:r>
      <w:r>
        <w:rPr>
          <w:rFonts w:hint="eastAsia" w:ascii="宋体" w:hAnsi="宋体" w:eastAsia="宋体" w:cs="宋体"/>
          <w:color w:val="auto"/>
          <w:highlight w:val="none"/>
          <w:lang w:val="en-GB"/>
        </w:rPr>
        <w:fldChar w:fldCharType="end"/>
      </w:r>
      <w:r>
        <w:rPr>
          <w:rFonts w:hint="eastAsia" w:ascii="宋体" w:hAnsi="宋体" w:eastAsia="宋体" w:cs="宋体"/>
          <w:color w:val="auto"/>
          <w:highlight w:val="none"/>
          <w:lang w:val="en-GB"/>
        </w:rPr>
        <w:t>染毒区人员撤离现场的注意事项</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做好防护再撤离。染毒区人员撤离前应戴好合适的防毒器具，同时穿好工作服，尽可能少的将皮肤暴露在毒气中。</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迅速判明事故当时风向，可利用风向标、旗帜等辨明风向，向上风向撤离。</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听从指挥。染毒区人员在撤离时，一定不要慌张，要听从指挥部的指令和现场治安队的安排，按指定路线，向指定的集结点撤离。</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防止继发伤害。尽可能向侧、逆风向转移，并避免横穿毒源中心区域或危险地带。</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发扬互帮互助精神，染毒区人员在自救的基础上要帮助同伴一起撤离染毒区域，对于已受伤和中毒的人员更是需要他人救助。</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fldChar w:fldCharType="begin"/>
      </w:r>
      <w:r>
        <w:rPr>
          <w:rFonts w:hint="eastAsia" w:ascii="宋体" w:hAnsi="宋体" w:eastAsia="宋体" w:cs="宋体"/>
          <w:color w:val="auto"/>
          <w:highlight w:val="none"/>
          <w:lang w:val="en-GB"/>
        </w:rPr>
        <w:instrText xml:space="preserve"> = 2 \* GB3 </w:instrText>
      </w:r>
      <w:r>
        <w:rPr>
          <w:rFonts w:hint="eastAsia" w:ascii="宋体" w:hAnsi="宋体" w:eastAsia="宋体" w:cs="宋体"/>
          <w:color w:val="auto"/>
          <w:highlight w:val="none"/>
          <w:lang w:val="en-GB"/>
        </w:rPr>
        <w:fldChar w:fldCharType="separate"/>
      </w:r>
      <w:r>
        <w:rPr>
          <w:rFonts w:hint="eastAsia" w:ascii="宋体" w:hAnsi="宋体" w:eastAsia="宋体" w:cs="宋体"/>
          <w:color w:val="auto"/>
          <w:highlight w:val="none"/>
          <w:lang w:val="en-GB"/>
        </w:rPr>
        <w:t>②</w:t>
      </w:r>
      <w:r>
        <w:rPr>
          <w:rFonts w:hint="eastAsia" w:ascii="宋体" w:hAnsi="宋体" w:eastAsia="宋体" w:cs="宋体"/>
          <w:color w:val="auto"/>
          <w:highlight w:val="none"/>
          <w:lang w:val="en-GB"/>
        </w:rPr>
        <w:fldChar w:fldCharType="end"/>
      </w:r>
      <w:r>
        <w:rPr>
          <w:rFonts w:hint="eastAsia" w:ascii="宋体" w:hAnsi="宋体" w:eastAsia="宋体" w:cs="宋体"/>
          <w:color w:val="auto"/>
          <w:highlight w:val="none"/>
          <w:lang w:val="en-GB"/>
        </w:rPr>
        <w:t>救援人员进入染毒区域及实施救援时的注意事项</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救援人员进入染毒区域前必须清楚了解染毒区域的地形、建筑（设备）分布、有无爆炸及燃烧的危险、毒物种类及大致浓度，做好自身的防护工作，配备好各种防护器材。避免单独行动，应至少2-3人为一组集体行动，以便互相监护照应，在有易燃易爆气体存在的环境中，所用的救援器材应具备防爆功能。</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进入染毒区域的救援人员必须明确一位负责人，指挥协调在染毒区域内的救援行动，利用对讲机（防爆型）等随时与指挥部联系，同时所有参加救援人员必须听从指挥部的指挥。</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fldChar w:fldCharType="begin"/>
      </w:r>
      <w:r>
        <w:rPr>
          <w:rFonts w:hint="eastAsia" w:ascii="宋体" w:hAnsi="宋体" w:eastAsia="宋体" w:cs="宋体"/>
          <w:color w:val="auto"/>
          <w:highlight w:val="none"/>
          <w:lang w:val="en-GB"/>
        </w:rPr>
        <w:instrText xml:space="preserve"> = 3 \* GB3 </w:instrText>
      </w:r>
      <w:r>
        <w:rPr>
          <w:rFonts w:hint="eastAsia" w:ascii="宋体" w:hAnsi="宋体" w:eastAsia="宋体" w:cs="宋体"/>
          <w:color w:val="auto"/>
          <w:highlight w:val="none"/>
          <w:lang w:val="en-GB"/>
        </w:rPr>
        <w:fldChar w:fldCharType="separate"/>
      </w:r>
      <w:r>
        <w:rPr>
          <w:rFonts w:hint="eastAsia" w:ascii="宋体" w:hAnsi="宋体" w:eastAsia="宋体" w:cs="宋体"/>
          <w:color w:val="auto"/>
          <w:highlight w:val="none"/>
          <w:lang w:val="en-GB"/>
        </w:rPr>
        <w:t>③</w:t>
      </w:r>
      <w:r>
        <w:rPr>
          <w:rFonts w:hint="eastAsia" w:ascii="宋体" w:hAnsi="宋体" w:eastAsia="宋体" w:cs="宋体"/>
          <w:color w:val="auto"/>
          <w:highlight w:val="none"/>
          <w:lang w:val="en-GB"/>
        </w:rPr>
        <w:fldChar w:fldCharType="end"/>
      </w:r>
      <w:r>
        <w:rPr>
          <w:rFonts w:hint="eastAsia" w:ascii="宋体" w:hAnsi="宋体" w:eastAsia="宋体" w:cs="宋体"/>
          <w:color w:val="auto"/>
          <w:highlight w:val="none"/>
          <w:lang w:val="en-GB"/>
        </w:rPr>
        <w:t>开展现场急救工作的注意事项</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做好自身防护。医疗救护人员在救护过程中要随时注意风向的变化，及时迅速做好现场急救医疗点的转移及伤员的防护工作。</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分工合作。当事故现场有大批伤病员的情况下，医护人员应分工合作，作到任务到人，职责明确。团结协作。</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急救处理程序化。为了避免现场急救工作杂乱无章，医务室应事先设计好不同类型的化学事故所应采取的现场急救程序。</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处理污染物。要注意对伤病员污染衣物的处理，防止发生继发性损害，特别是对某些毒物中毒的病人做人工呼吸时，要谨防救援人员再次引起中毒，因此不宜进行口对口进行人工呼吸。最好使用苏生器进行人员抢救。</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交接手续要完备。对现场急救处理后的伤病员，要做到一人一卡（急救卡），将基本情况、初步诊断、处理措施记录在卡上，并别在伤员胸前或挂在手腕上，便于识别及下一步的诊治。移交伤病员时手续要完备。</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做好登记统计工作。应做好现场急救统计工作，作到资料准确、数据准确、为日后总结经验教训积累第一手资料。</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转送伤病员要合理安排车辆。在救护车辆不够的情况下，对危重伤病员要在医务人员监护的情况下，用安全救护型救护车转送，中度伤病员安排普通型救护车转送，对轻度伤病员可安排中型客车集体转送。</w:t>
      </w:r>
    </w:p>
    <w:p>
      <w:pPr>
        <w:pStyle w:val="30"/>
        <w:pageBreakBefore w:val="0"/>
        <w:wordWrap/>
        <w:topLinePunct w:val="0"/>
        <w:bidi w:val="0"/>
        <w:spacing w:line="360" w:lineRule="auto"/>
        <w:ind w:left="0" w:leftChars="0" w:right="0" w:rightChars="0" w:firstLine="513"/>
        <w:rPr>
          <w:rFonts w:hint="eastAsia" w:ascii="宋体" w:hAnsi="宋体" w:eastAsia="宋体" w:cs="宋体"/>
          <w:color w:val="auto"/>
          <w:highlight w:val="none"/>
          <w:lang w:val="en-GB"/>
        </w:rPr>
      </w:pPr>
      <w:r>
        <w:rPr>
          <w:rFonts w:hint="eastAsia" w:ascii="宋体" w:hAnsi="宋体" w:eastAsia="宋体" w:cs="宋体"/>
          <w:color w:val="auto"/>
          <w:highlight w:val="none"/>
          <w:lang w:val="en-GB"/>
        </w:rPr>
        <w:t>本公司制定了完善的安全管理、降低风险的规章制度，在管理、控制及监督、生产和维护方面有成熟的降低事故风险的经验和措施。本工程环境风险水平处在可接受水平范围内。</w:t>
      </w:r>
    </w:p>
    <w:p>
      <w:pPr>
        <w:pStyle w:val="4"/>
        <w:bidi w:val="0"/>
        <w:rPr>
          <w:rFonts w:hint="eastAsia" w:ascii="宋体" w:hAnsi="宋体" w:eastAsia="宋体" w:cs="宋体"/>
          <w:lang w:val="en-US" w:eastAsia="zh-CN"/>
        </w:rPr>
      </w:pPr>
      <w:bookmarkStart w:id="377" w:name="_Toc70324654"/>
      <w:bookmarkEnd w:id="377"/>
      <w:bookmarkStart w:id="378" w:name="_Toc15311"/>
      <w:bookmarkStart w:id="379" w:name="_Toc28308"/>
      <w:bookmarkStart w:id="380" w:name="_Toc70324656"/>
      <w:bookmarkStart w:id="381" w:name="_Toc28101"/>
      <w:r>
        <w:rPr>
          <w:rFonts w:hint="eastAsia" w:ascii="宋体" w:hAnsi="宋体" w:eastAsia="宋体" w:cs="宋体"/>
          <w:lang w:val="en-US" w:eastAsia="zh-CN"/>
        </w:rPr>
        <w:t>5.4释放环境风险物质的扩散途径、涉及环境风险防控与应急措施、应急资源情况分析</w:t>
      </w:r>
      <w:bookmarkEnd w:id="378"/>
      <w:bookmarkEnd w:id="379"/>
      <w:bookmarkEnd w:id="380"/>
      <w:bookmarkEnd w:id="381"/>
    </w:p>
    <w:p>
      <w:pPr>
        <w:pStyle w:val="5"/>
        <w:bidi w:val="0"/>
        <w:rPr>
          <w:rFonts w:hint="eastAsia" w:ascii="宋体" w:hAnsi="宋体" w:eastAsia="宋体" w:cs="宋体"/>
          <w:lang w:val="en-US" w:eastAsia="zh-CN"/>
        </w:rPr>
      </w:pPr>
      <w:bookmarkStart w:id="382" w:name="_Toc12113"/>
      <w:r>
        <w:rPr>
          <w:rFonts w:hint="eastAsia" w:ascii="宋体" w:hAnsi="宋体" w:eastAsia="宋体" w:cs="宋体"/>
          <w:lang w:val="en-US" w:eastAsia="zh-CN"/>
        </w:rPr>
        <w:t>5.</w:t>
      </w:r>
      <w:r>
        <w:rPr>
          <w:rFonts w:hint="eastAsia" w:ascii="宋体" w:hAnsi="宋体" w:cs="宋体"/>
          <w:lang w:val="en-US" w:eastAsia="zh-CN"/>
        </w:rPr>
        <w:t>4</w:t>
      </w:r>
      <w:r>
        <w:rPr>
          <w:rFonts w:hint="eastAsia" w:ascii="宋体" w:hAnsi="宋体" w:eastAsia="宋体" w:cs="宋体"/>
          <w:lang w:val="en-US" w:eastAsia="zh-CN"/>
        </w:rPr>
        <w:t>.1风险事故大气环境影响分析</w:t>
      </w:r>
      <w:bookmarkEnd w:id="382"/>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因厂内储存的原辅材料及产成品大多为可燃性有毒物质，如发生火灾爆炸事故时，伴随燃烧过程中会产生次生污染物（如一氧化碳等）。</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发生火灾对环境的污染影响主要来自原辅材料及产成品燃烧产生的大量的有害气体，由于燃烧产生的有害气体释放量难以定量，主要定性分析火灾发生时产生的有害气体对周围环境的影响。在正常情况下，空气的组成主要有氮气、氧气、氩气、二氧化碳及氢、氖、臭氧、氪、氙和尘等，而火灾所产生烟雾的成分主要为二氧化碳和水蒸汽，这两种物质约占所有烟雾的90%～95%；另外还有一氧化碳等，约占5%～l0%，对环境和人体健康产生较大危害是一氧化碳等有害物质。</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一氧化碳产生量相对较大，危害也较大，一氧化碳的浓度过高或持续时间过长都会使人窒息或死亡。一般情况下，火场附近的一氧化碳的浓度较高(浓度可达0.02%)， 而距火场30m处， 一氧化碳的浓度逐渐降低(0.001%)。因此，近距离靠近火场会有造成一氧化碳中毒的危险。据以往报道，在火灾而造成的人员死亡中，3/4的人死于有害气体，而且有害气体中一氧化碳是主要的有毒物质。</w:t>
      </w:r>
    </w:p>
    <w:p>
      <w:pPr>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烟尘是燃烧的主要排放物，烟尘对空气污染的影响主要取决于颗粒的大小， 颗粒越小危害越大。 烟尘对人体的影响主要体现在吸入效应上。烟尘微粒可吸附有害气体，引起人的呼吸疾病。 在火场之外的空间内，由于新鲜空气与烟雾之间的对流，烟的浓度被稀释，对人体的伤害较小。</w:t>
      </w:r>
    </w:p>
    <w:p>
      <w:p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sz w:val="24"/>
          <w:szCs w:val="24"/>
          <w:highlight w:val="none"/>
        </w:rPr>
        <w:t>因此，火灾发生时将不可避免地对厂区内大气环境、人员安全与生产设施产生不利影响。</w:t>
      </w:r>
    </w:p>
    <w:p>
      <w:pPr>
        <w:pStyle w:val="5"/>
        <w:pageBreakBefore w:val="0"/>
        <w:numPr>
          <w:ilvl w:val="0"/>
          <w:numId w:val="0"/>
        </w:numPr>
        <w:wordWrap/>
        <w:topLinePunct w:val="0"/>
        <w:bidi w:val="0"/>
        <w:spacing w:before="0" w:after="0" w:line="360" w:lineRule="auto"/>
        <w:ind w:leftChars="0" w:right="0" w:rightChars="0"/>
        <w:rPr>
          <w:rFonts w:hint="eastAsia" w:ascii="宋体" w:hAnsi="宋体" w:eastAsia="宋体" w:cs="宋体"/>
          <w:color w:val="auto"/>
          <w:highlight w:val="none"/>
          <w:lang w:val="en-US" w:eastAsia="zh-CN"/>
        </w:rPr>
      </w:pPr>
      <w:bookmarkStart w:id="383" w:name="_Toc10350"/>
      <w:r>
        <w:rPr>
          <w:rFonts w:hint="eastAsia" w:ascii="宋体" w:hAnsi="宋体" w:eastAsia="宋体" w:cs="宋体"/>
          <w:color w:val="auto"/>
          <w:highlight w:val="none"/>
          <w:lang w:val="en-US" w:eastAsia="zh-CN"/>
        </w:rPr>
        <w:t>5.</w:t>
      </w:r>
      <w:r>
        <w:rPr>
          <w:rFonts w:hint="eastAsia" w:ascii="宋体" w:hAnsi="宋体" w:cs="宋体"/>
          <w:color w:val="auto"/>
          <w:highlight w:val="none"/>
          <w:lang w:val="en-US" w:eastAsia="zh-CN"/>
        </w:rPr>
        <w:t>4</w:t>
      </w:r>
      <w:r>
        <w:rPr>
          <w:rFonts w:hint="eastAsia" w:ascii="宋体" w:hAnsi="宋体" w:eastAsia="宋体" w:cs="宋体"/>
          <w:color w:val="auto"/>
          <w:highlight w:val="none"/>
          <w:lang w:val="en-US" w:eastAsia="zh-CN"/>
        </w:rPr>
        <w:t>.2风险事故水环境影响分析</w:t>
      </w:r>
      <w:bookmarkEnd w:id="383"/>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厂区可能发生的突发性水污染事故主要有储罐、设备泄漏或事故排放，罐区、生产车间、仓库等燃烧、爆炸事故排放，运输管线泄漏，车辆碰撞倾翻、泄漏排放等事故。事故发生后，污染物可能通过下渗、地表径流、地下径流污染周围水环境。</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储罐、设备均在项目区内，发生泄漏、燃烧、爆炸事故后，可通过下渗、地表径流和地下径流污染项目区周围地表水或地下水。车辆碰撞倾翻、泄漏排放等事故有可能发生在项目区内，也有可能发生在运输过程中，从而可能影响事故发生点的地表水或地下水。</w:t>
      </w:r>
    </w:p>
    <w:p>
      <w:pPr>
        <w:numPr>
          <w:ilvl w:val="0"/>
          <w:numId w:val="5"/>
        </w:num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对地下水的风险影响分析</w:t>
      </w:r>
    </w:p>
    <w:p>
      <w:pPr>
        <w:spacing w:line="360" w:lineRule="auto"/>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eastAsia="zh-CN"/>
        </w:rPr>
        <w:t>企业现有</w:t>
      </w:r>
      <w:r>
        <w:rPr>
          <w:rFonts w:hint="default" w:ascii="宋体" w:hAnsi="宋体" w:eastAsia="宋体" w:cs="宋体"/>
          <w:color w:val="auto"/>
          <w:sz w:val="24"/>
          <w:highlight w:val="none"/>
        </w:rPr>
        <w:t>1具5000m</w:t>
      </w:r>
      <w:r>
        <w:rPr>
          <w:rFonts w:hint="default" w:ascii="宋体" w:hAnsi="宋体" w:eastAsia="宋体" w:cs="宋体"/>
          <w:color w:val="auto"/>
          <w:sz w:val="24"/>
          <w:highlight w:val="none"/>
          <w:vertAlign w:val="superscript"/>
        </w:rPr>
        <w:t>3</w:t>
      </w:r>
      <w:r>
        <w:rPr>
          <w:rFonts w:hint="default" w:ascii="宋体" w:hAnsi="宋体" w:eastAsia="宋体" w:cs="宋体"/>
          <w:color w:val="auto"/>
          <w:sz w:val="24"/>
          <w:highlight w:val="none"/>
        </w:rPr>
        <w:t>事故储罐、2具10000m</w:t>
      </w:r>
      <w:r>
        <w:rPr>
          <w:rFonts w:hint="default" w:ascii="宋体" w:hAnsi="宋体" w:eastAsia="宋体" w:cs="宋体"/>
          <w:color w:val="auto"/>
          <w:sz w:val="24"/>
          <w:highlight w:val="none"/>
          <w:vertAlign w:val="superscript"/>
        </w:rPr>
        <w:t>3</w:t>
      </w:r>
      <w:r>
        <w:rPr>
          <w:rFonts w:hint="default" w:ascii="宋体" w:hAnsi="宋体" w:eastAsia="宋体" w:cs="宋体"/>
          <w:color w:val="auto"/>
          <w:sz w:val="24"/>
          <w:highlight w:val="none"/>
        </w:rPr>
        <w:t>事故储罐和1座容积为15000m</w:t>
      </w:r>
      <w:r>
        <w:rPr>
          <w:rFonts w:hint="default" w:ascii="宋体" w:hAnsi="宋体" w:eastAsia="宋体" w:cs="宋体"/>
          <w:color w:val="auto"/>
          <w:sz w:val="24"/>
          <w:highlight w:val="none"/>
          <w:vertAlign w:val="superscript"/>
        </w:rPr>
        <w:t>3</w:t>
      </w:r>
      <w:r>
        <w:rPr>
          <w:rFonts w:hint="default" w:ascii="宋体" w:hAnsi="宋体" w:eastAsia="宋体" w:cs="宋体"/>
          <w:color w:val="auto"/>
          <w:sz w:val="24"/>
          <w:highlight w:val="none"/>
        </w:rPr>
        <w:t>的事故水收集池</w:t>
      </w:r>
      <w:r>
        <w:rPr>
          <w:rFonts w:hint="default" w:ascii="宋体" w:hAnsi="宋体" w:eastAsia="宋体" w:cs="宋体"/>
          <w:color w:val="auto"/>
          <w:sz w:val="24"/>
          <w:highlight w:val="none"/>
          <w:lang w:eastAsia="zh-CN"/>
        </w:rPr>
        <w:t>。</w:t>
      </w:r>
      <w:r>
        <w:rPr>
          <w:rFonts w:hint="eastAsia" w:ascii="宋体" w:hAnsi="宋体" w:cs="宋体"/>
          <w:color w:val="auto"/>
          <w:sz w:val="24"/>
          <w:highlight w:val="none"/>
          <w:lang w:eastAsia="zh-CN"/>
        </w:rPr>
        <w:t>根据计算的理论事故水量，</w:t>
      </w:r>
      <w:r>
        <w:rPr>
          <w:rFonts w:hint="default" w:ascii="宋体" w:hAnsi="宋体" w:eastAsia="宋体" w:cs="宋体"/>
          <w:color w:val="auto"/>
          <w:sz w:val="24"/>
          <w:highlight w:val="none"/>
        </w:rPr>
        <w:t>事故水收集池</w:t>
      </w:r>
      <w:r>
        <w:rPr>
          <w:rFonts w:hint="eastAsia" w:ascii="宋体" w:hAnsi="宋体" w:eastAsia="宋体" w:cs="宋体"/>
          <w:color w:val="auto"/>
          <w:sz w:val="24"/>
          <w:highlight w:val="none"/>
          <w:lang w:eastAsia="zh-CN"/>
        </w:rPr>
        <w:t>可以在</w:t>
      </w:r>
      <w:r>
        <w:rPr>
          <w:rFonts w:hint="eastAsia" w:ascii="宋体" w:hAnsi="宋体" w:eastAsia="宋体" w:cs="宋体"/>
          <w:color w:val="auto"/>
          <w:sz w:val="24"/>
          <w:highlight w:val="none"/>
        </w:rPr>
        <w:t>事故状态下足以接纳事故水，在这种情况下不会造成事故水的漫流。另外厂区拟继续完善事故废水导排系统，届时泄露的化学品及灭火时产生的废水可完全被收集处理，不会通过渗透和地表径流污染地下水。</w:t>
      </w:r>
      <w:r>
        <w:rPr>
          <w:rFonts w:hint="eastAsia" w:ascii="宋体" w:hAnsi="宋体" w:cs="宋体"/>
          <w:color w:val="auto"/>
          <w:sz w:val="24"/>
          <w:highlight w:val="none"/>
          <w:lang w:eastAsia="zh-CN"/>
        </w:rPr>
        <w:t>具体见附件</w:t>
      </w:r>
      <w:r>
        <w:rPr>
          <w:rFonts w:hint="eastAsia" w:ascii="宋体" w:hAnsi="宋体" w:cs="宋体"/>
          <w:color w:val="auto"/>
          <w:sz w:val="24"/>
          <w:highlight w:val="none"/>
          <w:lang w:val="en-US" w:eastAsia="zh-CN"/>
        </w:rPr>
        <w:t>11。</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eastAsia="zh-CN"/>
        </w:rPr>
        <w:t>事故水量计算：</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根据《事故状态下水体污染的预防和控制规范》（Q/SY08190-2019），事故状态下事故水包括：发生事故的储罐或装置的消防水、可进入收集区域的雨水、被携带的污染油品。本项目事故池水量核算如下：</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总</w:t>
      </w: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1</w:t>
      </w: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2</w:t>
      </w: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3</w:t>
      </w: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4</w:t>
      </w: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5</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总</w:t>
      </w:r>
      <w:r>
        <w:rPr>
          <w:rFonts w:hint="eastAsia" w:ascii="宋体" w:hAnsi="宋体" w:cs="宋体"/>
          <w:color w:val="auto"/>
          <w:sz w:val="24"/>
          <w:highlight w:val="none"/>
          <w:lang w:val="en-US" w:eastAsia="zh-CN"/>
        </w:rPr>
        <w:t>：事故水缓冲设施总有效容积；</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1</w:t>
      </w:r>
      <w:r>
        <w:rPr>
          <w:rFonts w:hint="eastAsia" w:ascii="宋体" w:hAnsi="宋体" w:cs="宋体"/>
          <w:color w:val="auto"/>
          <w:sz w:val="24"/>
          <w:highlight w:val="none"/>
          <w:lang w:val="en-US" w:eastAsia="zh-CN"/>
        </w:rPr>
        <w:t>：发生事故时泄漏的物料量，末端事故缓冲设施按一个罐组（罐组物料由防火堤容纳）加一个装置（装置物料量除装置围堰容纳外，按1000m</w:t>
      </w:r>
      <w:r>
        <w:rPr>
          <w:rFonts w:hint="eastAsia" w:ascii="宋体" w:hAnsi="宋体" w:cs="宋体"/>
          <w:color w:val="auto"/>
          <w:sz w:val="24"/>
          <w:highlight w:val="none"/>
          <w:vertAlign w:val="superscript"/>
          <w:lang w:val="en-US" w:eastAsia="zh-CN"/>
        </w:rPr>
        <w:t>3</w:t>
      </w:r>
      <w:r>
        <w:rPr>
          <w:rFonts w:hint="eastAsia" w:ascii="宋体" w:hAnsi="宋体" w:cs="宋体"/>
          <w:color w:val="auto"/>
          <w:sz w:val="24"/>
          <w:highlight w:val="none"/>
          <w:lang w:val="en-US" w:eastAsia="zh-CN"/>
        </w:rPr>
        <w:t>计），总计为1000m</w:t>
      </w:r>
      <w:r>
        <w:rPr>
          <w:rFonts w:hint="eastAsia" w:ascii="宋体" w:hAnsi="宋体" w:cs="宋体"/>
          <w:color w:val="auto"/>
          <w:sz w:val="24"/>
          <w:highlight w:val="none"/>
          <w:vertAlign w:val="superscript"/>
          <w:lang w:val="en-US" w:eastAsia="zh-CN"/>
        </w:rPr>
        <w:t>3</w:t>
      </w:r>
      <w:r>
        <w:rPr>
          <w:rFonts w:hint="eastAsia" w:ascii="宋体" w:hAnsi="宋体" w:cs="宋体"/>
          <w:color w:val="auto"/>
          <w:sz w:val="24"/>
          <w:highlight w:val="none"/>
          <w:lang w:val="en-US" w:eastAsia="zh-CN"/>
        </w:rPr>
        <w:t xml:space="preserve"> ； </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2</w:t>
      </w:r>
      <w:r>
        <w:rPr>
          <w:rFonts w:hint="eastAsia" w:ascii="宋体" w:hAnsi="宋体" w:cs="宋体"/>
          <w:color w:val="auto"/>
          <w:sz w:val="24"/>
          <w:highlight w:val="none"/>
          <w:lang w:val="en-US" w:eastAsia="zh-CN"/>
        </w:rPr>
        <w:t>：为发生事故时的消防水量；</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中国石油呼和浩特石化公司厂区最大消防用水量为液化气罐区3000m</w:t>
      </w:r>
      <w:r>
        <w:rPr>
          <w:rFonts w:hint="eastAsia" w:ascii="宋体" w:hAnsi="宋体" w:cs="宋体"/>
          <w:color w:val="auto"/>
          <w:sz w:val="24"/>
          <w:highlight w:val="none"/>
          <w:vertAlign w:val="superscript"/>
          <w:lang w:val="en-US" w:eastAsia="zh-CN"/>
        </w:rPr>
        <w:t>3</w:t>
      </w:r>
      <w:r>
        <w:rPr>
          <w:rFonts w:hint="eastAsia" w:ascii="宋体" w:hAnsi="宋体" w:cs="宋体"/>
          <w:color w:val="auto"/>
          <w:sz w:val="24"/>
          <w:highlight w:val="none"/>
          <w:lang w:val="en-US" w:eastAsia="zh-CN"/>
        </w:rPr>
        <w:t>球罐，按最不利情况，1个3000m</w:t>
      </w:r>
      <w:r>
        <w:rPr>
          <w:rFonts w:hint="eastAsia" w:ascii="宋体" w:hAnsi="宋体" w:cs="宋体"/>
          <w:color w:val="auto"/>
          <w:sz w:val="24"/>
          <w:highlight w:val="none"/>
          <w:vertAlign w:val="superscript"/>
          <w:lang w:val="en-US" w:eastAsia="zh-CN"/>
        </w:rPr>
        <w:t>3</w:t>
      </w:r>
      <w:r>
        <w:rPr>
          <w:rFonts w:hint="eastAsia" w:ascii="宋体" w:hAnsi="宋体" w:cs="宋体"/>
          <w:color w:val="auto"/>
          <w:sz w:val="24"/>
          <w:highlight w:val="none"/>
          <w:lang w:val="en-US" w:eastAsia="zh-CN"/>
        </w:rPr>
        <w:t>着火球罐和3个3000m</w:t>
      </w:r>
      <w:r>
        <w:rPr>
          <w:rFonts w:hint="eastAsia" w:ascii="宋体" w:hAnsi="宋体" w:cs="宋体"/>
          <w:color w:val="auto"/>
          <w:sz w:val="24"/>
          <w:highlight w:val="none"/>
          <w:vertAlign w:val="superscript"/>
          <w:lang w:val="en-US" w:eastAsia="zh-CN"/>
        </w:rPr>
        <w:t>3</w:t>
      </w:r>
      <w:r>
        <w:rPr>
          <w:rFonts w:hint="eastAsia" w:ascii="宋体" w:hAnsi="宋体" w:cs="宋体"/>
          <w:color w:val="auto"/>
          <w:sz w:val="24"/>
          <w:highlight w:val="none"/>
          <w:lang w:val="en-US" w:eastAsia="zh-CN"/>
        </w:rPr>
        <w:t>临近球罐消防水量为：V</w:t>
      </w:r>
      <w:r>
        <w:rPr>
          <w:rFonts w:hint="eastAsia" w:ascii="宋体" w:hAnsi="宋体" w:cs="宋体"/>
          <w:color w:val="auto"/>
          <w:sz w:val="24"/>
          <w:highlight w:val="none"/>
          <w:vertAlign w:val="subscript"/>
          <w:lang w:val="en-US" w:eastAsia="zh-CN"/>
        </w:rPr>
        <w:t>2</w:t>
      </w:r>
      <w:r>
        <w:rPr>
          <w:rFonts w:hint="eastAsia" w:ascii="宋体" w:hAnsi="宋体" w:cs="宋体"/>
          <w:color w:val="auto"/>
          <w:sz w:val="24"/>
          <w:highlight w:val="none"/>
          <w:lang w:val="en-US" w:eastAsia="zh-CN"/>
        </w:rPr>
        <w:t>=∑Qm•t</w:t>
      </w:r>
      <w:r>
        <w:rPr>
          <w:rFonts w:hint="eastAsia" w:ascii="宋体" w:hAnsi="宋体" w:cs="宋体"/>
          <w:color w:val="auto"/>
          <w:sz w:val="24"/>
          <w:highlight w:val="none"/>
          <w:vertAlign w:val="subscript"/>
          <w:lang w:val="en-US" w:eastAsia="zh-CN"/>
        </w:rPr>
        <w:t>消</w:t>
      </w:r>
      <w:r>
        <w:rPr>
          <w:rFonts w:hint="eastAsia" w:ascii="宋体" w:hAnsi="宋体" w:cs="宋体"/>
          <w:color w:val="auto"/>
          <w:sz w:val="24"/>
          <w:highlight w:val="none"/>
          <w:lang w:val="en-US" w:eastAsia="zh-CN"/>
        </w:rPr>
        <w:t>=1916×6=11500m</w:t>
      </w:r>
      <w:r>
        <w:rPr>
          <w:rFonts w:hint="eastAsia" w:ascii="宋体" w:hAnsi="宋体" w:cs="宋体"/>
          <w:color w:val="auto"/>
          <w:sz w:val="24"/>
          <w:highlight w:val="none"/>
          <w:vertAlign w:val="superscript"/>
          <w:lang w:val="en-US" w:eastAsia="zh-CN"/>
        </w:rPr>
        <w:t>3</w:t>
      </w:r>
      <w:r>
        <w:rPr>
          <w:rFonts w:hint="eastAsia" w:ascii="宋体" w:hAnsi="宋体" w:cs="宋体"/>
          <w:color w:val="auto"/>
          <w:sz w:val="24"/>
          <w:highlight w:val="none"/>
          <w:lang w:val="en-US" w:eastAsia="zh-CN"/>
        </w:rPr>
        <w:t xml:space="preserve">； </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3</w:t>
      </w:r>
      <w:r>
        <w:rPr>
          <w:rFonts w:hint="eastAsia" w:ascii="宋体" w:hAnsi="宋体" w:cs="宋体"/>
          <w:color w:val="auto"/>
          <w:sz w:val="24"/>
          <w:highlight w:val="none"/>
          <w:lang w:val="en-US" w:eastAsia="zh-CN"/>
        </w:rPr>
        <w:t xml:space="preserve">为发生事故时可以转输到其它储存或处理设施的物料量（罐组物料由防火堤容纳） </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4</w:t>
      </w:r>
      <w:r>
        <w:rPr>
          <w:rFonts w:hint="eastAsia" w:ascii="宋体" w:hAnsi="宋体" w:cs="宋体"/>
          <w:color w:val="auto"/>
          <w:sz w:val="24"/>
          <w:highlight w:val="none"/>
          <w:lang w:val="en-US" w:eastAsia="zh-CN"/>
        </w:rPr>
        <w:t>为发生事故时仍必须进入该收集系统的生产废水量，为200m</w:t>
      </w:r>
      <w:r>
        <w:rPr>
          <w:rFonts w:hint="eastAsia" w:ascii="宋体" w:hAnsi="宋体" w:cs="宋体"/>
          <w:color w:val="auto"/>
          <w:sz w:val="24"/>
          <w:highlight w:val="none"/>
          <w:vertAlign w:val="superscript"/>
          <w:lang w:val="en-US" w:eastAsia="zh-CN"/>
        </w:rPr>
        <w:t>3</w:t>
      </w:r>
      <w:r>
        <w:rPr>
          <w:rFonts w:hint="eastAsia" w:ascii="宋体" w:hAnsi="宋体" w:cs="宋体"/>
          <w:color w:val="auto"/>
          <w:sz w:val="24"/>
          <w:highlight w:val="none"/>
          <w:lang w:val="en-US" w:eastAsia="zh-CN"/>
        </w:rPr>
        <w:t>；</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5</w:t>
      </w:r>
      <w:r>
        <w:rPr>
          <w:rFonts w:hint="eastAsia" w:ascii="宋体" w:hAnsi="宋体" w:cs="宋体"/>
          <w:color w:val="auto"/>
          <w:sz w:val="24"/>
          <w:highlight w:val="none"/>
          <w:lang w:val="en-US" w:eastAsia="zh-CN"/>
        </w:rPr>
        <w:t>为发生事故时可能进入该收集系统的降雨量。</w:t>
      </w:r>
    </w:p>
    <w:p>
      <w:pPr>
        <w:spacing w:line="360" w:lineRule="auto"/>
        <w:ind w:firstLine="480" w:firstLineChars="200"/>
        <w:rPr>
          <w:rFonts w:hint="eastAsia" w:ascii="宋体" w:hAnsi="宋体" w:cs="宋体"/>
          <w:color w:val="auto"/>
          <w:sz w:val="24"/>
          <w:highlight w:val="none"/>
          <w:lang w:eastAsia="zh-CN"/>
        </w:rPr>
      </w:pP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5</w:t>
      </w:r>
      <w:r>
        <w:rPr>
          <w:rFonts w:hint="eastAsia" w:ascii="宋体" w:hAnsi="宋体" w:cs="宋体"/>
          <w:color w:val="auto"/>
          <w:sz w:val="24"/>
          <w:highlight w:val="none"/>
          <w:lang w:val="en-US" w:eastAsia="zh-CN"/>
        </w:rPr>
        <w:t>=10qf=10×5.6×40=2240m</w:t>
      </w:r>
      <w:r>
        <w:rPr>
          <w:rFonts w:hint="eastAsia" w:ascii="宋体" w:hAnsi="宋体" w:cs="宋体"/>
          <w:color w:val="auto"/>
          <w:sz w:val="24"/>
          <w:highlight w:val="none"/>
          <w:vertAlign w:val="superscript"/>
          <w:lang w:val="en-US" w:eastAsia="zh-CN"/>
        </w:rPr>
        <w:t>3</w:t>
      </w:r>
      <w:r>
        <w:rPr>
          <w:rFonts w:hint="eastAsia" w:ascii="宋体" w:hAnsi="宋体" w:cs="宋体"/>
          <w:color w:val="auto"/>
          <w:sz w:val="24"/>
          <w:highlight w:val="none"/>
          <w:lang w:val="en-US" w:eastAsia="zh-CN"/>
        </w:rPr>
        <w:t xml:space="preserve"> </w:t>
      </w:r>
    </w:p>
    <w:p>
      <w:pPr>
        <w:spacing w:line="360" w:lineRule="auto"/>
        <w:ind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V</w:t>
      </w:r>
      <w:r>
        <w:rPr>
          <w:rFonts w:hint="eastAsia" w:ascii="宋体" w:hAnsi="宋体" w:cs="宋体"/>
          <w:color w:val="auto"/>
          <w:sz w:val="24"/>
          <w:highlight w:val="none"/>
          <w:vertAlign w:val="subscript"/>
          <w:lang w:val="en-US" w:eastAsia="zh-CN"/>
        </w:rPr>
        <w:t>总</w:t>
      </w:r>
      <w:r>
        <w:rPr>
          <w:rFonts w:hint="eastAsia" w:ascii="宋体" w:hAnsi="宋体" w:cs="宋体"/>
          <w:color w:val="auto"/>
          <w:sz w:val="24"/>
          <w:highlight w:val="none"/>
          <w:lang w:val="en-US" w:eastAsia="zh-CN"/>
        </w:rPr>
        <w:t>=1000+11500+200+2240=14940m</w:t>
      </w:r>
      <w:r>
        <w:rPr>
          <w:rFonts w:hint="eastAsia" w:ascii="宋体" w:hAnsi="宋体" w:cs="宋体"/>
          <w:color w:val="auto"/>
          <w:sz w:val="24"/>
          <w:highlight w:val="none"/>
          <w:vertAlign w:val="superscript"/>
          <w:lang w:val="en-US" w:eastAsia="zh-CN"/>
        </w:rPr>
        <w:t>3</w:t>
      </w:r>
      <w:r>
        <w:rPr>
          <w:rFonts w:hint="eastAsia" w:ascii="宋体" w:hAnsi="宋体" w:cs="宋体"/>
          <w:color w:val="auto"/>
          <w:sz w:val="24"/>
          <w:highlight w:val="none"/>
          <w:lang w:val="en-US" w:eastAsia="zh-CN"/>
        </w:rPr>
        <w:t xml:space="preserve"> 。</w:t>
      </w:r>
    </w:p>
    <w:p>
      <w:pPr>
        <w:spacing w:line="360" w:lineRule="auto"/>
        <w:ind w:firstLine="480" w:firstLineChars="200"/>
        <w:rPr>
          <w:rFonts w:hint="eastAsia"/>
          <w:lang w:eastAsia="zh-CN"/>
        </w:rPr>
      </w:pPr>
      <w:r>
        <w:rPr>
          <w:rFonts w:hint="eastAsia" w:ascii="宋体" w:hAnsi="宋体" w:eastAsia="宋体" w:cs="宋体"/>
          <w:color w:val="auto"/>
          <w:sz w:val="24"/>
          <w:highlight w:val="none"/>
          <w:lang w:val="en-US" w:eastAsia="zh-CN"/>
        </w:rPr>
        <w:t>中国石油呼和浩特石化公司厂区事故水量为14940m</w:t>
      </w:r>
      <w:r>
        <w:rPr>
          <w:rFonts w:hint="eastAsia" w:ascii="宋体" w:hAnsi="宋体" w:eastAsia="宋体" w:cs="宋体"/>
          <w:color w:val="auto"/>
          <w:sz w:val="24"/>
          <w:highlight w:val="none"/>
          <w:vertAlign w:val="superscript"/>
          <w:lang w:val="en-US" w:eastAsia="zh-CN"/>
        </w:rPr>
        <w:t>3</w:t>
      </w:r>
      <w:r>
        <w:rPr>
          <w:rFonts w:hint="eastAsia" w:ascii="宋体" w:hAnsi="宋体" w:eastAsia="宋体" w:cs="宋体"/>
          <w:color w:val="auto"/>
          <w:sz w:val="24"/>
          <w:highlight w:val="none"/>
          <w:lang w:val="en-US" w:eastAsia="zh-CN"/>
        </w:rPr>
        <w:t>，厂区现有事故水池有效容积15000m</w:t>
      </w:r>
      <w:r>
        <w:rPr>
          <w:rFonts w:hint="eastAsia" w:ascii="宋体" w:hAnsi="宋体" w:eastAsia="宋体" w:cs="宋体"/>
          <w:color w:val="auto"/>
          <w:sz w:val="24"/>
          <w:highlight w:val="none"/>
          <w:vertAlign w:val="superscript"/>
          <w:lang w:val="en-US" w:eastAsia="zh-CN"/>
        </w:rPr>
        <w:t>3</w:t>
      </w:r>
      <w:r>
        <w:rPr>
          <w:rFonts w:hint="eastAsia" w:ascii="宋体" w:hAnsi="宋体" w:eastAsia="宋体" w:cs="宋体"/>
          <w:color w:val="auto"/>
          <w:sz w:val="24"/>
          <w:highlight w:val="none"/>
          <w:lang w:val="en-US" w:eastAsia="zh-CN"/>
        </w:rPr>
        <w:t xml:space="preserve"> ，厂区现有事故水池能够满足厂区事故水量要求。</w:t>
      </w:r>
    </w:p>
    <w:p>
      <w:pPr>
        <w:numPr>
          <w:ilvl w:val="0"/>
          <w:numId w:val="5"/>
        </w:numPr>
        <w:spacing w:line="360" w:lineRule="auto"/>
        <w:ind w:left="0" w:leftChars="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对地表水的风险影响分析</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项目废水经过事故应急池收集后，罐车收集外运处理，从而使污废水不直接排入地表水环境，因此如厂区发生泄露事故，污染物基本不会对周围河流造成污染。</w:t>
      </w:r>
    </w:p>
    <w:p>
      <w:pPr>
        <w:pageBreakBefore w:val="0"/>
        <w:widowControl w:val="0"/>
        <w:kinsoku/>
        <w:wordWrap/>
        <w:overflowPunct/>
        <w:topLinePunct w:val="0"/>
        <w:autoSpaceDE/>
        <w:autoSpaceDN/>
        <w:bidi w:val="0"/>
        <w:adjustRightInd/>
        <w:snapToGrid/>
        <w:spacing w:line="500" w:lineRule="exact"/>
        <w:ind w:left="0" w:hanging="195" w:hangingChars="81"/>
        <w:jc w:val="center"/>
        <w:textAlignment w:val="auto"/>
        <w:rPr>
          <w:rFonts w:hint="default" w:ascii="Times New Roman" w:hAnsi="Times New Roman" w:eastAsia="宋体" w:cs="Times New Roman"/>
          <w:b/>
          <w:bCs/>
          <w:sz w:val="24"/>
        </w:rPr>
      </w:pPr>
      <w:r>
        <w:rPr>
          <w:rFonts w:hint="default" w:ascii="Times New Roman" w:hAnsi="Times New Roman" w:eastAsia="宋体" w:cs="Times New Roman"/>
          <w:b/>
          <w:bCs/>
          <w:sz w:val="24"/>
        </w:rPr>
        <w:t>表</w:t>
      </w:r>
      <w:r>
        <w:rPr>
          <w:rFonts w:hint="eastAsia" w:ascii="Times New Roman" w:hAnsi="Times New Roman" w:eastAsia="宋体" w:cs="Times New Roman"/>
          <w:b/>
          <w:bCs/>
          <w:sz w:val="24"/>
          <w:lang w:val="en-US" w:eastAsia="zh-CN"/>
        </w:rPr>
        <w:t>5.4</w:t>
      </w:r>
      <w:r>
        <w:rPr>
          <w:rFonts w:hint="default" w:ascii="Times New Roman" w:hAnsi="Times New Roman" w:eastAsia="宋体" w:cs="Times New Roman"/>
          <w:b/>
          <w:bCs/>
          <w:sz w:val="24"/>
        </w:rPr>
        <w:t>-1  环境风险物资扩散途径</w:t>
      </w:r>
    </w:p>
    <w:tbl>
      <w:tblPr>
        <w:tblStyle w:val="21"/>
        <w:tblW w:w="0" w:type="auto"/>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836"/>
        <w:gridCol w:w="4377"/>
        <w:gridCol w:w="3309"/>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40" w:hRule="atLeast"/>
          <w:jc w:val="center"/>
        </w:trPr>
        <w:tc>
          <w:tcPr>
            <w:tcW w:w="836" w:type="dxa"/>
            <w:noWrap w:val="0"/>
            <w:vAlign w:val="center"/>
          </w:tcPr>
          <w:p>
            <w:pPr>
              <w:spacing w:line="240" w:lineRule="auto"/>
              <w:ind w:left="0" w:firstLine="0" w:firstLineChars="0"/>
              <w:jc w:val="center"/>
              <w:rPr>
                <w:rFonts w:hint="default" w:ascii="Times New Roman" w:hAnsi="Times New Roman" w:eastAsia="宋体" w:cs="Times New Roman"/>
                <w:b/>
                <w:szCs w:val="21"/>
              </w:rPr>
            </w:pPr>
            <w:r>
              <w:rPr>
                <w:rFonts w:hint="default" w:ascii="Times New Roman" w:hAnsi="Times New Roman" w:eastAsia="宋体" w:cs="Times New Roman"/>
                <w:b/>
                <w:szCs w:val="21"/>
              </w:rPr>
              <w:t>序号</w:t>
            </w:r>
          </w:p>
        </w:tc>
        <w:tc>
          <w:tcPr>
            <w:tcW w:w="4377" w:type="dxa"/>
            <w:noWrap w:val="0"/>
            <w:vAlign w:val="center"/>
          </w:tcPr>
          <w:p>
            <w:pPr>
              <w:spacing w:line="240" w:lineRule="auto"/>
              <w:ind w:left="0" w:firstLine="0" w:firstLineChars="0"/>
              <w:jc w:val="center"/>
              <w:rPr>
                <w:rFonts w:hint="default" w:ascii="Times New Roman" w:hAnsi="Times New Roman" w:eastAsia="宋体" w:cs="Times New Roman"/>
                <w:b/>
                <w:szCs w:val="21"/>
              </w:rPr>
            </w:pPr>
            <w:r>
              <w:rPr>
                <w:rFonts w:hint="default" w:ascii="Times New Roman" w:hAnsi="Times New Roman" w:eastAsia="宋体" w:cs="Times New Roman"/>
                <w:b/>
                <w:szCs w:val="21"/>
              </w:rPr>
              <w:t>环境风险事故</w:t>
            </w:r>
          </w:p>
        </w:tc>
        <w:tc>
          <w:tcPr>
            <w:tcW w:w="3309" w:type="dxa"/>
            <w:noWrap w:val="0"/>
            <w:vAlign w:val="center"/>
          </w:tcPr>
          <w:p>
            <w:pPr>
              <w:spacing w:line="240" w:lineRule="auto"/>
              <w:ind w:left="0" w:firstLine="0" w:firstLineChars="0"/>
              <w:jc w:val="center"/>
              <w:rPr>
                <w:rFonts w:hint="eastAsia" w:ascii="Times New Roman" w:hAnsi="Times New Roman" w:eastAsia="宋体" w:cs="Times New Roman"/>
                <w:b/>
                <w:szCs w:val="21"/>
                <w:lang w:eastAsia="zh-CN"/>
              </w:rPr>
            </w:pPr>
            <w:r>
              <w:rPr>
                <w:rFonts w:hint="eastAsia" w:ascii="Times New Roman" w:hAnsi="Times New Roman" w:eastAsia="宋体" w:cs="Times New Roman"/>
                <w:b/>
                <w:szCs w:val="21"/>
                <w:lang w:val="en-US" w:eastAsia="zh-CN"/>
              </w:rPr>
              <w:t>扩散途径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836" w:type="dxa"/>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1</w:t>
            </w:r>
          </w:p>
        </w:tc>
        <w:tc>
          <w:tcPr>
            <w:tcW w:w="4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工艺系统失控</w:t>
            </w:r>
            <w:r>
              <w:rPr>
                <w:rFonts w:hint="default" w:ascii="Times New Roman" w:hAnsi="Times New Roman" w:eastAsia="宋体" w:cs="Times New Roman"/>
                <w:color w:val="000000"/>
                <w:sz w:val="21"/>
                <w:szCs w:val="21"/>
                <w:lang w:val="en-US"/>
              </w:rPr>
              <w:t>(设备破裂或温控异常)</w:t>
            </w:r>
            <w:r>
              <w:rPr>
                <w:rFonts w:hint="eastAsia" w:ascii="Times New Roman" w:hAnsi="Times New Roman" w:eastAsia="宋体" w:cs="Times New Roman"/>
                <w:color w:val="000000"/>
                <w:sz w:val="21"/>
                <w:szCs w:val="21"/>
                <w:lang w:val="en-US" w:eastAsia="zh-CN"/>
              </w:rPr>
              <w:t>导致</w:t>
            </w:r>
            <w:r>
              <w:rPr>
                <w:rFonts w:hint="eastAsia" w:ascii="Times New Roman" w:hAnsi="Times New Roman" w:eastAsia="宋体" w:cs="Times New Roman"/>
                <w:sz w:val="21"/>
                <w:szCs w:val="21"/>
                <w:lang w:val="en-US" w:eastAsia="zh-CN"/>
              </w:rPr>
              <w:t>大量危化品泄漏，引发火灾爆炸事故</w:t>
            </w:r>
          </w:p>
        </w:tc>
        <w:tc>
          <w:tcPr>
            <w:tcW w:w="3309" w:type="dxa"/>
            <w:noWrap w:val="0"/>
            <w:vAlign w:val="center"/>
          </w:tcPr>
          <w:p>
            <w:pPr>
              <w:pStyle w:val="37"/>
              <w:spacing w:line="240" w:lineRule="auto"/>
              <w:ind w:firstLine="0" w:firstLineChars="0"/>
              <w:jc w:val="center"/>
              <w:rPr>
                <w:rFonts w:hint="eastAsia" w:ascii="Times New Roman" w:hAnsi="Times New Roman" w:eastAsia="宋体" w:cs="Times New Roman"/>
                <w:szCs w:val="21"/>
                <w:lang w:val="en-US" w:eastAsia="zh-CN"/>
              </w:rPr>
            </w:pPr>
            <w:r>
              <w:rPr>
                <w:rFonts w:hint="eastAsia" w:ascii="Times New Roman" w:cs="Times New Roman"/>
                <w:sz w:val="21"/>
                <w:szCs w:val="21"/>
                <w:lang w:val="en-US" w:eastAsia="zh-CN"/>
              </w:rPr>
              <w:t>大气</w:t>
            </w:r>
            <w:r>
              <w:rPr>
                <w:rFonts w:ascii="Times New Roman" w:cs="Times New Roman"/>
                <w:sz w:val="21"/>
                <w:szCs w:val="21"/>
              </w:rPr>
              <w:t>扩散</w:t>
            </w:r>
            <w:r>
              <w:rPr>
                <w:rFonts w:hint="eastAsia" w:ascii="Times New Roman" w:cs="Times New Roman"/>
                <w:sz w:val="21"/>
                <w:szCs w:val="21"/>
                <w:lang w:eastAsia="zh-CN"/>
              </w:rPr>
              <w:t>、</w:t>
            </w:r>
            <w:r>
              <w:rPr>
                <w:rFonts w:ascii="Times New Roman" w:cs="Times New Roman"/>
                <w:sz w:val="21"/>
                <w:szCs w:val="21"/>
              </w:rPr>
              <w:t>地表径流、下渗</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836" w:type="dxa"/>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2</w:t>
            </w:r>
          </w:p>
        </w:tc>
        <w:tc>
          <w:tcPr>
            <w:tcW w:w="4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sz w:val="21"/>
                <w:szCs w:val="21"/>
                <w:lang w:val="en-US" w:eastAsia="zh-CN"/>
              </w:rPr>
              <w:t>原油储罐大量泄露</w:t>
            </w:r>
            <w:r>
              <w:rPr>
                <w:rFonts w:hint="default" w:ascii="Times New Roman" w:hAnsi="Times New Roman" w:eastAsia="宋体" w:cs="Times New Roman"/>
                <w:sz w:val="21"/>
                <w:szCs w:val="21"/>
                <w:lang w:val="en-US"/>
              </w:rPr>
              <w:t>泄漏</w:t>
            </w:r>
            <w:r>
              <w:rPr>
                <w:rFonts w:hint="eastAsia" w:ascii="Times New Roman" w:hAnsi="Times New Roman" w:eastAsia="宋体" w:cs="Times New Roman"/>
                <w:sz w:val="21"/>
                <w:szCs w:val="21"/>
                <w:lang w:val="en-US" w:eastAsia="zh-CN"/>
              </w:rPr>
              <w:t>，引发火灾爆炸事故</w:t>
            </w:r>
          </w:p>
        </w:tc>
        <w:tc>
          <w:tcPr>
            <w:tcW w:w="3309" w:type="dxa"/>
            <w:noWrap w:val="0"/>
            <w:vAlign w:val="center"/>
          </w:tcPr>
          <w:p>
            <w:pPr>
              <w:spacing w:line="240" w:lineRule="auto"/>
              <w:ind w:left="0" w:firstLine="0" w:firstLineChars="0"/>
              <w:jc w:val="center"/>
              <w:rPr>
                <w:rFonts w:hint="default" w:ascii="Times New Roman" w:hAnsi="Times New Roman" w:eastAsia="宋体" w:cs="Times New Roman"/>
                <w:szCs w:val="21"/>
                <w:lang w:eastAsia="zh-CN"/>
              </w:rPr>
            </w:pPr>
            <w:r>
              <w:rPr>
                <w:rFonts w:hint="eastAsia" w:ascii="Times New Roman" w:cs="Times New Roman"/>
                <w:sz w:val="21"/>
                <w:szCs w:val="21"/>
                <w:lang w:val="en-US" w:eastAsia="zh-CN"/>
              </w:rPr>
              <w:t>大气</w:t>
            </w:r>
            <w:r>
              <w:rPr>
                <w:rFonts w:ascii="Times New Roman" w:cs="Times New Roman"/>
                <w:sz w:val="21"/>
                <w:szCs w:val="21"/>
              </w:rPr>
              <w:t>扩散</w:t>
            </w:r>
            <w:r>
              <w:rPr>
                <w:rFonts w:hint="eastAsia" w:ascii="Times New Roman" w:cs="Times New Roman"/>
                <w:sz w:val="21"/>
                <w:szCs w:val="21"/>
                <w:lang w:eastAsia="zh-CN"/>
              </w:rPr>
              <w:t>、</w:t>
            </w:r>
            <w:r>
              <w:rPr>
                <w:rFonts w:ascii="Times New Roman" w:cs="Times New Roman"/>
                <w:sz w:val="21"/>
                <w:szCs w:val="21"/>
              </w:rPr>
              <w:t>地表径流、下渗</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836" w:type="dxa"/>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w:t>
            </w:r>
          </w:p>
        </w:tc>
        <w:tc>
          <w:tcPr>
            <w:tcW w:w="4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eastAsia" w:ascii="Times New Roman" w:hAnsi="Times New Roman" w:eastAsia="宋体" w:cs="Times New Roman"/>
                <w:sz w:val="21"/>
                <w:szCs w:val="21"/>
                <w:lang w:val="en-US" w:eastAsia="zh-CN"/>
              </w:rPr>
              <w:t>液氨、苯、甲醇等危化品大量泄漏，发生火灾爆炸事故。</w:t>
            </w:r>
          </w:p>
        </w:tc>
        <w:tc>
          <w:tcPr>
            <w:tcW w:w="3309" w:type="dxa"/>
            <w:noWrap w:val="0"/>
            <w:vAlign w:val="center"/>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eastAsia" w:ascii="Times New Roman" w:cs="Times New Roman"/>
                <w:sz w:val="21"/>
                <w:szCs w:val="21"/>
                <w:lang w:val="en-US" w:eastAsia="zh-CN"/>
              </w:rPr>
              <w:t>大气</w:t>
            </w:r>
            <w:r>
              <w:rPr>
                <w:rFonts w:ascii="Times New Roman" w:cs="Times New Roman"/>
                <w:sz w:val="21"/>
                <w:szCs w:val="21"/>
              </w:rPr>
              <w:t>扩散</w:t>
            </w:r>
            <w:r>
              <w:rPr>
                <w:rFonts w:hint="eastAsia" w:ascii="Times New Roman" w:cs="Times New Roman"/>
                <w:sz w:val="21"/>
                <w:szCs w:val="21"/>
                <w:lang w:eastAsia="zh-CN"/>
              </w:rPr>
              <w:t>、</w:t>
            </w:r>
            <w:r>
              <w:rPr>
                <w:rFonts w:ascii="Times New Roman" w:cs="Times New Roman"/>
                <w:sz w:val="21"/>
                <w:szCs w:val="21"/>
              </w:rPr>
              <w:t>地表径流、下渗</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836" w:type="dxa"/>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4</w:t>
            </w:r>
          </w:p>
        </w:tc>
        <w:tc>
          <w:tcPr>
            <w:tcW w:w="4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污水处理站运行不正常导致超标污水外排或污水处理站泄露</w:t>
            </w:r>
          </w:p>
        </w:tc>
        <w:tc>
          <w:tcPr>
            <w:tcW w:w="3309" w:type="dxa"/>
            <w:noWrap w:val="0"/>
            <w:vAlign w:val="center"/>
          </w:tcPr>
          <w:p>
            <w:pPr>
              <w:spacing w:line="240" w:lineRule="auto"/>
              <w:ind w:left="0" w:firstLine="0" w:firstLineChars="0"/>
              <w:jc w:val="center"/>
              <w:rPr>
                <w:rFonts w:hint="default" w:ascii="Times New Roman" w:hAnsi="Times New Roman" w:eastAsia="宋体" w:cs="Times New Roman"/>
                <w:szCs w:val="21"/>
                <w:lang w:val="en-US" w:eastAsia="zh-CN"/>
              </w:rPr>
            </w:pPr>
            <w:r>
              <w:rPr>
                <w:rFonts w:ascii="Times New Roman" w:cs="Times New Roman"/>
                <w:sz w:val="21"/>
                <w:szCs w:val="21"/>
              </w:rPr>
              <w:t>地表径流、下渗</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836" w:type="dxa"/>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5</w:t>
            </w:r>
          </w:p>
        </w:tc>
        <w:tc>
          <w:tcPr>
            <w:tcW w:w="4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废气处理设施运行不正常，导致废气超标排放</w:t>
            </w:r>
          </w:p>
        </w:tc>
        <w:tc>
          <w:tcPr>
            <w:tcW w:w="3309" w:type="dxa"/>
            <w:noWrap w:val="0"/>
            <w:vAlign w:val="center"/>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eastAsia" w:ascii="Times New Roman" w:cs="Times New Roman"/>
                <w:sz w:val="21"/>
                <w:szCs w:val="21"/>
                <w:lang w:val="en-US" w:eastAsia="zh-CN"/>
              </w:rPr>
              <w:t>大气</w:t>
            </w:r>
            <w:r>
              <w:rPr>
                <w:rFonts w:ascii="Times New Roman" w:cs="Times New Roman"/>
                <w:sz w:val="21"/>
                <w:szCs w:val="21"/>
              </w:rPr>
              <w:t>扩散</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836" w:type="dxa"/>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6</w:t>
            </w:r>
          </w:p>
        </w:tc>
        <w:tc>
          <w:tcPr>
            <w:tcW w:w="4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kern w:val="2"/>
                <w:sz w:val="21"/>
                <w:szCs w:val="21"/>
                <w:lang w:val="en-US" w:eastAsia="zh-CN" w:bidi="ar-SA"/>
              </w:rPr>
            </w:pPr>
            <w:r>
              <w:rPr>
                <w:rFonts w:hint="eastAsia" w:ascii="Times New Roman" w:hAnsi="Times New Roman" w:eastAsia="宋体" w:cs="Times New Roman"/>
                <w:color w:val="000000"/>
                <w:sz w:val="21"/>
                <w:szCs w:val="21"/>
                <w:lang w:val="en-US" w:eastAsia="zh-CN"/>
              </w:rPr>
              <w:t>危险废物厂内运输、储存过程中导致危险废物泄露</w:t>
            </w:r>
          </w:p>
        </w:tc>
        <w:tc>
          <w:tcPr>
            <w:tcW w:w="3309" w:type="dxa"/>
            <w:noWrap w:val="0"/>
            <w:vAlign w:val="center"/>
          </w:tcPr>
          <w:p>
            <w:pPr>
              <w:spacing w:line="240" w:lineRule="auto"/>
              <w:ind w:left="0" w:firstLine="0" w:firstLineChars="0"/>
              <w:jc w:val="center"/>
              <w:rPr>
                <w:rFonts w:hint="default" w:ascii="Times New Roman" w:hAnsi="Times New Roman" w:eastAsia="宋体" w:cs="Times New Roman"/>
                <w:szCs w:val="21"/>
                <w:lang w:val="en-US" w:eastAsia="zh-CN"/>
              </w:rPr>
            </w:pPr>
            <w:r>
              <w:rPr>
                <w:rFonts w:ascii="Times New Roman" w:cs="Times New Roman"/>
                <w:sz w:val="21"/>
                <w:szCs w:val="21"/>
              </w:rPr>
              <w:t>地表径流、下渗</w:t>
            </w:r>
          </w:p>
        </w:tc>
      </w:tr>
    </w:tbl>
    <w:p>
      <w:pPr>
        <w:pStyle w:val="4"/>
        <w:bidi w:val="0"/>
        <w:rPr>
          <w:rFonts w:hint="eastAsia" w:ascii="宋体" w:hAnsi="宋体" w:eastAsia="宋体" w:cs="宋体"/>
          <w:lang w:val="en-US" w:eastAsia="zh-CN"/>
        </w:rPr>
      </w:pPr>
      <w:bookmarkStart w:id="384" w:name="_Toc70324658"/>
      <w:bookmarkStart w:id="385" w:name="_Toc22849"/>
      <w:bookmarkStart w:id="386" w:name="_Toc5086"/>
      <w:bookmarkStart w:id="387" w:name="_Toc21324"/>
      <w:r>
        <w:rPr>
          <w:rFonts w:hint="eastAsia" w:ascii="宋体" w:hAnsi="宋体" w:eastAsia="宋体" w:cs="宋体"/>
          <w:lang w:val="en-US" w:eastAsia="zh-CN"/>
        </w:rPr>
        <w:t>5.5突发环境事件危害后果分析</w:t>
      </w:r>
      <w:bookmarkEnd w:id="384"/>
      <w:bookmarkEnd w:id="385"/>
      <w:bookmarkEnd w:id="386"/>
      <w:bookmarkEnd w:id="387"/>
    </w:p>
    <w:p>
      <w:pPr>
        <w:pStyle w:val="5"/>
        <w:bidi w:val="0"/>
        <w:rPr>
          <w:rFonts w:hint="eastAsia"/>
          <w:lang w:val="en-US" w:eastAsia="zh-CN"/>
        </w:rPr>
      </w:pPr>
      <w:bookmarkStart w:id="388" w:name="_Toc21934"/>
      <w:bookmarkStart w:id="389" w:name="_Toc30600"/>
      <w:r>
        <w:rPr>
          <w:rFonts w:hint="eastAsia"/>
          <w:lang w:val="en-US" w:eastAsia="zh-CN"/>
        </w:rPr>
        <w:t>5.5.1</w:t>
      </w:r>
      <w:bookmarkStart w:id="390" w:name="_Toc405278316"/>
      <w:r>
        <w:rPr>
          <w:rFonts w:hint="eastAsia"/>
          <w:lang w:val="en-US" w:eastAsia="zh-CN"/>
        </w:rPr>
        <w:t>原油储罐着火次生SO</w:t>
      </w:r>
      <w:r>
        <w:rPr>
          <w:rFonts w:hint="eastAsia"/>
          <w:vertAlign w:val="subscript"/>
          <w:lang w:val="en-US" w:eastAsia="zh-CN"/>
        </w:rPr>
        <w:t>2</w:t>
      </w:r>
      <w:r>
        <w:rPr>
          <w:rFonts w:hint="eastAsia"/>
          <w:lang w:val="en-US" w:eastAsia="zh-CN"/>
        </w:rPr>
        <w:t>、CO影响预测及后果分析</w:t>
      </w:r>
      <w:bookmarkEnd w:id="388"/>
      <w:bookmarkEnd w:id="389"/>
      <w:bookmarkEnd w:id="390"/>
    </w:p>
    <w:p>
      <w:pPr>
        <w:spacing w:line="360" w:lineRule="auto"/>
        <w:ind w:firstLine="480" w:firstLineChars="200"/>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1</w:t>
      </w:r>
      <w:r>
        <w:rPr>
          <w:rFonts w:hint="eastAsia" w:asciiTheme="minorEastAsia" w:hAnsiTheme="minorEastAsia"/>
          <w:sz w:val="24"/>
          <w:lang w:eastAsia="zh-CN"/>
        </w:rPr>
        <w:t>）</w:t>
      </w:r>
      <w:r>
        <w:rPr>
          <w:rFonts w:asciiTheme="minorEastAsia" w:hAnsiTheme="minorEastAsia"/>
          <w:sz w:val="24"/>
        </w:rPr>
        <w:t>利用烟团模式计算各种污染物在事故发生后不同时间、不利气象条件下地面浓度、最大落地浓度和出现距离，确定各种污染物域值出现的范围，并对最不利气象条件下污染物扩散进行重点分析；</w:t>
      </w:r>
    </w:p>
    <w:p>
      <w:pPr>
        <w:spacing w:line="360" w:lineRule="auto"/>
        <w:ind w:firstLine="480" w:firstLineChars="200"/>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2</w:t>
      </w:r>
      <w:r>
        <w:rPr>
          <w:rFonts w:hint="eastAsia" w:asciiTheme="minorEastAsia" w:hAnsiTheme="minorEastAsia"/>
          <w:sz w:val="24"/>
          <w:lang w:eastAsia="zh-CN"/>
        </w:rPr>
        <w:t>）</w:t>
      </w:r>
      <w:r>
        <w:rPr>
          <w:rFonts w:asciiTheme="minorEastAsia" w:hAnsiTheme="minorEastAsia"/>
          <w:sz w:val="24"/>
        </w:rPr>
        <w:t>预测各风险因子LC50、IDLH浓度出现的时间及距离，并画出最大包络范围图。</w:t>
      </w:r>
    </w:p>
    <w:p>
      <w:pPr>
        <w:spacing w:line="360" w:lineRule="auto"/>
        <w:ind w:firstLine="480" w:firstLineChars="200"/>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3</w:t>
      </w:r>
      <w:r>
        <w:rPr>
          <w:rFonts w:hint="eastAsia" w:asciiTheme="minorEastAsia" w:hAnsiTheme="minorEastAsia"/>
          <w:sz w:val="24"/>
          <w:lang w:eastAsia="zh-CN"/>
        </w:rPr>
        <w:t>）</w:t>
      </w:r>
      <w:r>
        <w:rPr>
          <w:rFonts w:asciiTheme="minorEastAsia" w:hAnsiTheme="minorEastAsia"/>
          <w:sz w:val="24"/>
        </w:rPr>
        <w:t>预测模式</w:t>
      </w:r>
    </w:p>
    <w:p>
      <w:pPr>
        <w:spacing w:line="360" w:lineRule="auto"/>
        <w:ind w:firstLine="480" w:firstLineChars="200"/>
        <w:rPr>
          <w:rFonts w:asciiTheme="minorEastAsia" w:hAnsiTheme="minorEastAsia"/>
          <w:sz w:val="24"/>
        </w:rPr>
      </w:pPr>
      <w:r>
        <w:rPr>
          <w:rFonts w:asciiTheme="minorEastAsia" w:hAnsiTheme="minorEastAsia"/>
          <w:sz w:val="24"/>
        </w:rPr>
        <w:t>根据物质泄漏及有毒蒸汽释放的事故特点，采用《环境风险评价导则》推荐的多烟团叠加模式。</w:t>
      </w:r>
    </w:p>
    <w:p>
      <w:pPr>
        <w:spacing w:line="360" w:lineRule="auto"/>
        <w:ind w:firstLine="480" w:firstLineChars="200"/>
        <w:rPr>
          <w:rFonts w:asciiTheme="minorEastAsia" w:hAnsiTheme="minorEastAsia"/>
          <w:sz w:val="24"/>
        </w:rPr>
      </w:pPr>
      <w:r>
        <w:rPr>
          <w:rFonts w:asciiTheme="minorEastAsia" w:hAnsiTheme="minorEastAsia"/>
          <w:sz w:val="24"/>
        </w:rPr>
        <w:t>多烟团模式：</w:t>
      </w:r>
    </w:p>
    <w:p>
      <w:pPr>
        <w:rPr>
          <w:rFonts w:asciiTheme="minorEastAsia" w:hAnsiTheme="minorEastAsia"/>
          <w:sz w:val="24"/>
        </w:rPr>
      </w:pPr>
      <w:r>
        <w:rPr>
          <w:rFonts w:asciiTheme="minorEastAsia" w:hAnsiTheme="minorEastAsia"/>
          <w:sz w:val="24"/>
        </w:rPr>
        <w:pict>
          <v:shape id="_x0000_s1026" o:spid="_x0000_s1026" o:spt="75" type="#_x0000_t75" style="position:absolute;left:0pt;margin-left:243pt;margin-top:0.05pt;height:42pt;width:147pt;z-index:251666432;mso-width-relative:page;mso-height-relative:page;" o:ole="t" filled="f" o:preferrelative="t" stroked="f" coordsize="21600,21600">
            <v:path/>
            <v:fill on="f" focussize="0,0"/>
            <v:stroke on="f" joinstyle="miter"/>
            <v:imagedata r:id="rId47" o:title=""/>
            <o:lock v:ext="edit" aspectratio="t"/>
          </v:shape>
          <o:OLEObject Type="Embed" ProgID="Equation.3" ShapeID="_x0000_s1026" DrawAspect="Content" ObjectID="_1468075732" r:id="rId46">
            <o:LockedField>false</o:LockedField>
          </o:OLEObject>
        </w:pict>
      </w:r>
      <w:r>
        <w:rPr>
          <w:rFonts w:asciiTheme="minorEastAsia" w:hAnsiTheme="minorEastAsia"/>
          <w:sz w:val="24"/>
        </w:rPr>
        <w:pict>
          <v:shape id="_x0000_s1027" o:spid="_x0000_s1027" o:spt="75" type="#_x0000_t75" style="position:absolute;left:0pt;margin-left:27pt;margin-top:0.05pt;height:39.75pt;width:218.25pt;z-index:251667456;mso-width-relative:page;mso-height-relative:page;" o:ole="t" filled="f" o:preferrelative="t" stroked="f" coordsize="21600,21600">
            <v:path/>
            <v:fill on="f" focussize="0,0"/>
            <v:stroke on="f" joinstyle="miter"/>
            <v:imagedata r:id="rId49" o:title=""/>
            <o:lock v:ext="edit" aspectratio="t"/>
          </v:shape>
          <o:OLEObject Type="Embed" ProgID="Equation.3" ShapeID="_x0000_s1027" DrawAspect="Content" ObjectID="_1468075733" r:id="rId48">
            <o:LockedField>false</o:LockedField>
          </o:OLEObject>
        </w:pict>
      </w:r>
    </w:p>
    <w:p>
      <w:pPr>
        <w:rPr>
          <w:rFonts w:asciiTheme="minorEastAsia" w:hAnsiTheme="minorEastAsia"/>
          <w:sz w:val="24"/>
        </w:rPr>
      </w:pPr>
    </w:p>
    <w:p>
      <w:pPr>
        <w:rPr>
          <w:rFonts w:asciiTheme="minorEastAsia" w:hAnsiTheme="minorEastAsia"/>
          <w:sz w:val="24"/>
        </w:rPr>
      </w:pPr>
    </w:p>
    <w:p>
      <w:pPr>
        <w:rPr>
          <w:rFonts w:asciiTheme="minorEastAsia" w:hAnsiTheme="minorEastAsia"/>
          <w:sz w:val="24"/>
        </w:rPr>
      </w:pPr>
      <w:r>
        <w:rPr>
          <w:rFonts w:asciiTheme="minorEastAsia" w:hAnsiTheme="minorEastAsia"/>
          <w:sz w:val="24"/>
        </w:rPr>
        <w:t>式中：</w:t>
      </w:r>
      <w:r>
        <w:rPr>
          <w:rFonts w:asciiTheme="minorEastAsia" w:hAnsiTheme="minorEastAsia"/>
          <w:sz w:val="24"/>
        </w:rPr>
        <w:object>
          <v:shape id="_x0000_i1032" o:spt="75" type="#_x0000_t75" style="height:17.5pt;width:42.5pt;" o:ole="t" filled="f" o:preferrelative="t" stroked="f" coordsize="21600,21600">
            <v:path/>
            <v:fill on="f" focussize="0,0"/>
            <v:stroke on="f" joinstyle="miter"/>
            <v:imagedata r:id="rId51" o:title=""/>
            <o:lock v:ext="edit" aspectratio="t"/>
            <w10:wrap type="none"/>
            <w10:anchorlock/>
          </v:shape>
          <o:OLEObject Type="Embed" ProgID="Equation.3" ShapeID="_x0000_i1032" DrawAspect="Content" ObjectID="_1468075734" r:id="rId50">
            <o:LockedField>false</o:LockedField>
          </o:OLEObject>
        </w:object>
      </w:r>
      <w:r>
        <w:rPr>
          <w:rFonts w:asciiTheme="minorEastAsia" w:hAnsiTheme="minorEastAsia"/>
          <w:sz w:val="24"/>
        </w:rPr>
        <w:t>－下风向地面</w:t>
      </w:r>
      <w:r>
        <w:rPr>
          <w:rFonts w:asciiTheme="minorEastAsia" w:hAnsiTheme="minorEastAsia"/>
          <w:sz w:val="24"/>
        </w:rPr>
        <w:object>
          <v:shape id="_x0000_i1033" o:spt="75" type="#_x0000_t75" style="height:17.5pt;width:28pt;" o:ole="t" filled="f" o:preferrelative="t" stroked="f" coordsize="21600,21600">
            <v:path/>
            <v:fill on="f" focussize="0,0"/>
            <v:stroke on="f" joinstyle="miter"/>
            <v:imagedata r:id="rId53" o:title=""/>
            <o:lock v:ext="edit" aspectratio="t"/>
            <w10:wrap type="none"/>
            <w10:anchorlock/>
          </v:shape>
          <o:OLEObject Type="Embed" ProgID="Equation.3" ShapeID="_x0000_i1033" DrawAspect="Content" ObjectID="_1468075735" r:id="rId52">
            <o:LockedField>false</o:LockedField>
          </o:OLEObject>
        </w:object>
      </w:r>
      <w:r>
        <w:rPr>
          <w:rFonts w:asciiTheme="minorEastAsia" w:hAnsiTheme="minorEastAsia"/>
          <w:sz w:val="24"/>
        </w:rPr>
        <w:t>坐标处的空气中污染物浓度；</w:t>
      </w:r>
    </w:p>
    <w:p>
      <w:pPr>
        <w:rPr>
          <w:rFonts w:asciiTheme="minorEastAsia" w:hAnsiTheme="minorEastAsia"/>
          <w:sz w:val="24"/>
        </w:rPr>
      </w:pPr>
      <w:r>
        <w:rPr>
          <w:rFonts w:asciiTheme="minorEastAsia" w:hAnsiTheme="minorEastAsia"/>
          <w:sz w:val="24"/>
        </w:rPr>
        <w:object>
          <v:shape id="_x0000_i1034" o:spt="75" type="#_x0000_t75" style="height:18pt;width:46pt;" o:ole="t" filled="f" o:preferrelative="t" stroked="f" coordsize="21600,21600">
            <v:path/>
            <v:fill on="f" focussize="0,0"/>
            <v:stroke on="f" joinstyle="miter"/>
            <v:imagedata r:id="rId55" o:title=""/>
            <o:lock v:ext="edit" aspectratio="t"/>
            <w10:wrap type="none"/>
            <w10:anchorlock/>
          </v:shape>
          <o:OLEObject Type="Embed" ProgID="Equation.3" ShapeID="_x0000_i1034" DrawAspect="Content" ObjectID="_1468075736" r:id="rId54">
            <o:LockedField>false</o:LockedField>
          </o:OLEObject>
        </w:object>
      </w:r>
      <w:r>
        <w:rPr>
          <w:rFonts w:asciiTheme="minorEastAsia" w:hAnsiTheme="minorEastAsia"/>
          <w:sz w:val="24"/>
        </w:rPr>
        <w:t>－烟团中心坐标；</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Q－事故期间烟团的排放量。</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对于瞬时或短时间事故，采用下述变天条件下多烟团模式：</w:t>
      </w:r>
    </w:p>
    <w:p>
      <w:pPr>
        <w:rPr>
          <w:rFonts w:asciiTheme="minorEastAsia" w:hAnsiTheme="minorEastAsia"/>
          <w:sz w:val="24"/>
        </w:rPr>
      </w:pPr>
      <w:r>
        <w:rPr>
          <w:rFonts w:asciiTheme="minorEastAsia" w:hAnsiTheme="minorEastAsia"/>
          <w:sz w:val="24"/>
        </w:rPr>
        <w:pict>
          <v:shape id="_x0000_s1028" o:spid="_x0000_s1028" o:spt="75" type="#_x0000_t75" style="position:absolute;left:0pt;margin-left:0pt;margin-top:0pt;height:34.1pt;width:405pt;mso-wrap-distance-bottom:0pt;mso-wrap-distance-top:0pt;z-index:251665408;mso-width-relative:page;mso-height-relative:page;" o:ole="t" filled="f" o:preferrelative="t" stroked="f" coordsize="21600,21600">
            <v:path/>
            <v:fill on="f" focussize="0,0"/>
            <v:stroke on="f" joinstyle="miter"/>
            <v:imagedata r:id="rId57" o:title=""/>
            <o:lock v:ext="edit" aspectratio="t"/>
            <w10:wrap type="topAndBottom"/>
          </v:shape>
          <o:OLEObject Type="Embed" ProgID="Equation.3" ShapeID="_x0000_s1028" DrawAspect="Content" ObjectID="_1468075737" r:id="rId56">
            <o:LockedField>false</o:LockedField>
          </o:OLEObject>
        </w:pict>
      </w:r>
      <w:r>
        <w:rPr>
          <w:rFonts w:asciiTheme="minorEastAsia" w:hAnsiTheme="minorEastAsia"/>
          <w:sz w:val="24"/>
        </w:rPr>
        <w:t>式中：</w:t>
      </w:r>
      <w:r>
        <w:rPr>
          <w:rFonts w:asciiTheme="minorEastAsia" w:hAnsiTheme="minorEastAsia"/>
          <w:sz w:val="24"/>
        </w:rPr>
        <w:drawing>
          <wp:inline distT="0" distB="0" distL="0" distR="0">
            <wp:extent cx="863600" cy="241300"/>
            <wp:effectExtent l="0" t="0" r="12700" b="571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58" cstate="print"/>
                    <a:srcRect/>
                    <a:stretch>
                      <a:fillRect/>
                    </a:stretch>
                  </pic:blipFill>
                  <pic:spPr>
                    <a:xfrm>
                      <a:off x="0" y="0"/>
                      <a:ext cx="8636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第i个烟团在tw时刻·（即第w时段）在点(x,y,0)产生的地面浓度；</w:t>
      </w:r>
    </w:p>
    <w:p>
      <w:pPr>
        <w:rPr>
          <w:rFonts w:asciiTheme="minorEastAsia" w:hAnsiTheme="minorEastAsia"/>
          <w:sz w:val="24"/>
        </w:rPr>
      </w:pPr>
      <w:r>
        <w:rPr>
          <w:rFonts w:asciiTheme="minorEastAsia" w:hAnsiTheme="minorEastAsia"/>
          <w:sz w:val="24"/>
        </w:rPr>
        <w:drawing>
          <wp:inline distT="0" distB="0" distL="0" distR="0">
            <wp:extent cx="342900" cy="241300"/>
            <wp:effectExtent l="0" t="0" r="0" b="444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59"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42900" cy="241300"/>
            <wp:effectExtent l="0" t="0" r="0" b="444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60"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30200" cy="241300"/>
            <wp:effectExtent l="0" t="0" r="0"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61" cstate="print"/>
                    <a:srcRect/>
                    <a:stretch>
                      <a:fillRect/>
                    </a:stretch>
                  </pic:blipFill>
                  <pic:spPr>
                    <a:xfrm>
                      <a:off x="0" y="0"/>
                      <a:ext cx="330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烟团在w时段沿x、y和z方向的等效扩散参数（m），可由下式估算：</w:t>
      </w:r>
    </w:p>
    <w:p>
      <w:pPr>
        <w:rPr>
          <w:rFonts w:asciiTheme="minorEastAsia" w:hAnsiTheme="minorEastAsia"/>
          <w:sz w:val="24"/>
        </w:rPr>
      </w:pPr>
      <w:r>
        <w:rPr>
          <w:rFonts w:asciiTheme="minorEastAsia" w:hAnsiTheme="minorEastAsia"/>
          <w:sz w:val="24"/>
        </w:rPr>
        <w:drawing>
          <wp:inline distT="0" distB="0" distL="0" distR="0">
            <wp:extent cx="2368550" cy="488950"/>
            <wp:effectExtent l="0" t="0" r="12700" b="508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62" cstate="print"/>
                    <a:srcRect/>
                    <a:stretch>
                      <a:fillRect/>
                    </a:stretch>
                  </pic:blipFill>
                  <pic:spPr>
                    <a:xfrm>
                      <a:off x="0" y="0"/>
                      <a:ext cx="2368550" cy="48895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w:t>
      </w:r>
    </w:p>
    <w:p>
      <w:pPr>
        <w:rPr>
          <w:rFonts w:asciiTheme="minorEastAsia" w:hAnsiTheme="minorEastAsia"/>
          <w:sz w:val="24"/>
        </w:rPr>
      </w:pPr>
      <w:r>
        <w:rPr>
          <w:rFonts w:asciiTheme="minorEastAsia" w:hAnsiTheme="minorEastAsia"/>
          <w:sz w:val="24"/>
        </w:rPr>
        <w:drawing>
          <wp:inline distT="0" distB="0" distL="0" distR="0">
            <wp:extent cx="1746250" cy="3048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63" cstate="print"/>
                    <a:srcRect/>
                    <a:stretch>
                      <a:fillRect/>
                    </a:stretch>
                  </pic:blipFill>
                  <pic:spPr>
                    <a:xfrm>
                      <a:off x="0" y="0"/>
                      <a:ext cx="1746250" cy="3048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扩散因子，对tw时段的事故按下式计算：</w:t>
      </w:r>
    </w:p>
    <w:p>
      <w:pPr>
        <w:rPr>
          <w:rFonts w:asciiTheme="minorEastAsia" w:hAnsiTheme="minorEastAsia"/>
          <w:sz w:val="24"/>
        </w:rPr>
      </w:pPr>
      <w:r>
        <w:rPr>
          <w:rFonts w:asciiTheme="minorEastAsia" w:hAnsiTheme="minorEastAsia"/>
          <w:sz w:val="24"/>
        </w:rPr>
        <w:t>式中：</w:t>
      </w:r>
      <w:r>
        <w:rPr>
          <w:rFonts w:asciiTheme="minorEastAsia" w:hAnsiTheme="minorEastAsia"/>
          <w:sz w:val="24"/>
        </w:rPr>
        <w:drawing>
          <wp:inline distT="0" distB="0" distL="0" distR="0">
            <wp:extent cx="177800" cy="228600"/>
            <wp:effectExtent l="0" t="0" r="1270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64" cstate="print"/>
                    <a:srcRect/>
                    <a:stretch>
                      <a:fillRect/>
                    </a:stretch>
                  </pic:blipFill>
                  <pic:spPr>
                    <a:xfrm>
                      <a:off x="0" y="0"/>
                      <a:ext cx="177800" cy="2286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烟团排放量，</w:t>
      </w:r>
      <w:r>
        <w:rPr>
          <w:rFonts w:asciiTheme="minorEastAsia" w:hAnsiTheme="minorEastAsia"/>
          <w:sz w:val="24"/>
        </w:rPr>
        <w:drawing>
          <wp:inline distT="0" distB="0" distL="0" distR="0">
            <wp:extent cx="609600" cy="22860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65" cstate="print"/>
                    <a:srcRect/>
                    <a:stretch>
                      <a:fillRect/>
                    </a:stretch>
                  </pic:blipFill>
                  <pic:spPr>
                    <a:xfrm>
                      <a:off x="0" y="0"/>
                      <a:ext cx="609600" cy="2286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152400" cy="203200"/>
            <wp:effectExtent l="0" t="0" r="0" b="444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66" cstate="print"/>
                    <a:srcRect/>
                    <a:stretch>
                      <a:fillRect/>
                    </a:stretch>
                  </pic:blipFill>
                  <pic:spPr>
                    <a:xfrm>
                      <a:off x="0" y="0"/>
                      <a:ext cx="152400" cy="203200"/>
                    </a:xfrm>
                    <a:prstGeom prst="rect">
                      <a:avLst/>
                    </a:prstGeom>
                    <a:noFill/>
                    <a:ln w="9525">
                      <a:noFill/>
                      <a:miter lim="800000"/>
                      <a:headEnd/>
                      <a:tailEnd/>
                    </a:ln>
                  </pic:spPr>
                </pic:pic>
              </a:graphicData>
            </a:graphic>
          </wp:inline>
        </w:drawing>
      </w:r>
      <w:r>
        <w:rPr>
          <w:rFonts w:asciiTheme="minorEastAsia" w:hAnsiTheme="minorEastAsia"/>
          <w:sz w:val="24"/>
        </w:rPr>
        <w:t>为释放率，</w:t>
      </w:r>
      <w:r>
        <w:rPr>
          <w:rFonts w:asciiTheme="minorEastAsia" w:hAnsiTheme="minorEastAsia"/>
          <w:sz w:val="24"/>
        </w:rPr>
        <w:drawing>
          <wp:inline distT="0" distB="0" distL="0" distR="0">
            <wp:extent cx="190500" cy="177800"/>
            <wp:effectExtent l="0" t="0" r="0" b="1333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67" cstate="print"/>
                    <a:srcRect/>
                    <a:stretch>
                      <a:fillRect/>
                    </a:stretch>
                  </pic:blipFill>
                  <pic:spPr>
                    <a:xfrm>
                      <a:off x="0" y="0"/>
                      <a:ext cx="190500" cy="177800"/>
                    </a:xfrm>
                    <a:prstGeom prst="rect">
                      <a:avLst/>
                    </a:prstGeom>
                    <a:noFill/>
                    <a:ln w="9525">
                      <a:noFill/>
                      <a:miter lim="800000"/>
                      <a:headEnd/>
                      <a:tailEnd/>
                    </a:ln>
                  </pic:spPr>
                </pic:pic>
              </a:graphicData>
            </a:graphic>
          </wp:inline>
        </w:drawing>
      </w:r>
      <w:r>
        <w:rPr>
          <w:rFonts w:asciiTheme="minorEastAsia" w:hAnsiTheme="minorEastAsia"/>
          <w:sz w:val="24"/>
        </w:rPr>
        <w:t>为时段长度；</w:t>
      </w:r>
    </w:p>
    <w:p>
      <w:pPr>
        <w:rPr>
          <w:rFonts w:asciiTheme="minorEastAsia" w:hAnsiTheme="minorEastAsia"/>
          <w:sz w:val="24"/>
        </w:rPr>
      </w:pPr>
      <w:r>
        <w:rPr>
          <w:rFonts w:asciiTheme="minorEastAsia" w:hAnsiTheme="minorEastAsia"/>
          <w:sz w:val="24"/>
        </w:rPr>
        <w:drawing>
          <wp:inline distT="0" distB="0" distL="0" distR="0">
            <wp:extent cx="190500" cy="241300"/>
            <wp:effectExtent l="0" t="0" r="0" b="508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68" cstate="print"/>
                    <a:srcRect/>
                    <a:stretch>
                      <a:fillRect/>
                    </a:stretch>
                  </pic:blipFill>
                  <pic:spPr>
                    <a:xfrm>
                      <a:off x="0" y="0"/>
                      <a:ext cx="190500" cy="241300"/>
                    </a:xfrm>
                    <a:prstGeom prst="rect">
                      <a:avLst/>
                    </a:prstGeom>
                    <a:noFill/>
                    <a:ln w="9525">
                      <a:noFill/>
                      <a:miter lim="800000"/>
                      <a:headEnd/>
                      <a:tailEnd/>
                    </a:ln>
                  </pic:spPr>
                </pic:pic>
              </a:graphicData>
            </a:graphic>
          </wp:inline>
        </w:drawing>
      </w:r>
      <w:r>
        <w:rPr>
          <w:rFonts w:asciiTheme="minorEastAsia" w:hAnsiTheme="minorEastAsia"/>
          <w:sz w:val="24"/>
        </w:rPr>
        <w:t>和</w:t>
      </w:r>
      <w:r>
        <w:rPr>
          <w:rFonts w:asciiTheme="minorEastAsia" w:hAnsiTheme="minorEastAsia"/>
          <w:sz w:val="24"/>
        </w:rPr>
        <w:drawing>
          <wp:inline distT="0" distB="0" distL="0" distR="0">
            <wp:extent cx="203200" cy="241300"/>
            <wp:effectExtent l="0" t="0" r="6350" b="508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69" cstate="print"/>
                    <a:srcRect/>
                    <a:stretch>
                      <a:fillRect/>
                    </a:stretch>
                  </pic:blipFill>
                  <pic:spPr>
                    <a:xfrm>
                      <a:off x="0" y="0"/>
                      <a:ext cx="203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第w时段结束时第i烟团质心的x和y坐标，由下述两式计算：</w:t>
      </w:r>
    </w:p>
    <w:p>
      <w:pPr>
        <w:rPr>
          <w:rFonts w:asciiTheme="minorEastAsia" w:hAnsiTheme="minorEastAsia"/>
          <w:sz w:val="24"/>
        </w:rPr>
      </w:pPr>
      <w:r>
        <w:rPr>
          <w:rFonts w:asciiTheme="minorEastAsia" w:hAnsiTheme="minorEastAsia"/>
          <w:sz w:val="24"/>
        </w:rPr>
        <w:drawing>
          <wp:inline distT="0" distB="0" distL="0" distR="0">
            <wp:extent cx="2482850" cy="47625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noChangeArrowheads="1"/>
                    </pic:cNvPicPr>
                  </pic:nvPicPr>
                  <pic:blipFill>
                    <a:blip r:embed="rId70" cstate="print"/>
                    <a:srcRect/>
                    <a:stretch>
                      <a:fillRect/>
                    </a:stretch>
                  </pic:blipFill>
                  <pic:spPr>
                    <a:xfrm>
                      <a:off x="0" y="0"/>
                      <a:ext cx="2482850" cy="47625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drawing>
          <wp:inline distT="0" distB="0" distL="0" distR="0">
            <wp:extent cx="2482850" cy="469900"/>
            <wp:effectExtent l="0" t="0" r="12700" b="508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noChangeArrowheads="1"/>
                    </pic:cNvPicPr>
                  </pic:nvPicPr>
                  <pic:blipFill>
                    <a:blip r:embed="rId71" cstate="print"/>
                    <a:srcRect/>
                    <a:stretch>
                      <a:fillRect/>
                    </a:stretch>
                  </pic:blipFill>
                  <pic:spPr>
                    <a:xfrm>
                      <a:off x="0" y="0"/>
                      <a:ext cx="2482850" cy="46990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t>各个烟团对某个关心点t小时的浓度贡献，按下式计算：</w:t>
      </w:r>
    </w:p>
    <w:p>
      <w:pPr>
        <w:rPr>
          <w:rFonts w:asciiTheme="minorEastAsia" w:hAnsiTheme="minorEastAsia"/>
          <w:sz w:val="24"/>
        </w:rPr>
      </w:pPr>
      <w:r>
        <w:rPr>
          <w:rFonts w:asciiTheme="minorEastAsia" w:hAnsiTheme="minorEastAsia"/>
          <w:sz w:val="24"/>
        </w:rPr>
        <w:drawing>
          <wp:inline distT="0" distB="0" distL="0" distR="0">
            <wp:extent cx="2025650" cy="4953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noChangeArrowheads="1"/>
                    </pic:cNvPicPr>
                  </pic:nvPicPr>
                  <pic:blipFill>
                    <a:blip r:embed="rId72" cstate="print"/>
                    <a:srcRect/>
                    <a:stretch>
                      <a:fillRect/>
                    </a:stretch>
                  </pic:blipFill>
                  <pic:spPr>
                    <a:xfrm>
                      <a:off x="0" y="0"/>
                      <a:ext cx="2025650" cy="4953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式中：n－需要跟踪的烟团数，可由下式确定：</w:t>
      </w:r>
    </w:p>
    <w:p>
      <w:pPr>
        <w:rPr>
          <w:rFonts w:asciiTheme="minorEastAsia" w:hAnsiTheme="minorEastAsia"/>
          <w:sz w:val="24"/>
        </w:rPr>
      </w:pPr>
      <w:r>
        <w:rPr>
          <w:rFonts w:asciiTheme="minorEastAsia" w:hAnsiTheme="minorEastAsia"/>
          <w:sz w:val="24"/>
        </w:rPr>
        <w:drawing>
          <wp:inline distT="0" distB="0" distL="0" distR="0">
            <wp:extent cx="2254250" cy="488950"/>
            <wp:effectExtent l="0" t="0" r="12700" b="508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73" cstate="print"/>
                    <a:srcRect/>
                    <a:stretch>
                      <a:fillRect/>
                    </a:stretch>
                  </pic:blipFill>
                  <pic:spPr>
                    <a:xfrm>
                      <a:off x="0" y="0"/>
                      <a:ext cx="2254250" cy="488950"/>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f为小于1的系数，可根据计算要求确定。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4</w:t>
      </w:r>
      <w:r>
        <w:rPr>
          <w:rFonts w:hint="eastAsia" w:asciiTheme="minorEastAsia" w:hAnsiTheme="minorEastAsia"/>
          <w:sz w:val="24"/>
          <w:lang w:eastAsia="zh-CN"/>
        </w:rPr>
        <w:t>）</w:t>
      </w:r>
      <w:r>
        <w:rPr>
          <w:rFonts w:asciiTheme="minorEastAsia" w:hAnsiTheme="minorEastAsia"/>
          <w:sz w:val="24"/>
        </w:rPr>
        <w:t>气象条件选择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分别对B、D、F三个稳定度静风（0.5 m/s）、小风（1.5 m/s）、多年平均风速（2.02m/s）、风速（3.09m/s）四个代表性风速条件下，以事故发生时污染物轴线最大落地浓度作为评价标准，比较分析事故的影响范围，选取对环境影响最大的气象条件作为风险预测的气象条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heme="minorEastAsia" w:hAnsiTheme="minorEastAsia" w:eastAsiaTheme="minorEastAsia"/>
          <w:sz w:val="24"/>
          <w:lang w:val="en-US" w:eastAsia="zh-CN"/>
        </w:rPr>
      </w:pPr>
      <w:r>
        <w:rPr>
          <w:rFonts w:hint="eastAsia" w:asciiTheme="minorEastAsia" w:hAnsiTheme="minorEastAsia"/>
          <w:sz w:val="24"/>
          <w:lang w:eastAsia="zh-CN"/>
        </w:rPr>
        <w:t>（</w:t>
      </w:r>
      <w:r>
        <w:rPr>
          <w:rFonts w:hint="eastAsia" w:asciiTheme="minorEastAsia" w:hAnsiTheme="minorEastAsia"/>
          <w:sz w:val="24"/>
          <w:lang w:val="en-US" w:eastAsia="zh-CN"/>
        </w:rPr>
        <w:t>5</w:t>
      </w:r>
      <w:r>
        <w:rPr>
          <w:rFonts w:hint="eastAsia" w:asciiTheme="minorEastAsia" w:hAnsiTheme="minorEastAsia"/>
          <w:sz w:val="24"/>
          <w:lang w:eastAsia="zh-CN"/>
        </w:rPr>
        <w:t>）</w:t>
      </w:r>
      <w:r>
        <w:rPr>
          <w:rFonts w:hint="eastAsia" w:asciiTheme="minorEastAsia" w:hAnsiTheme="minorEastAsia"/>
          <w:sz w:val="24"/>
          <w:lang w:val="en-US" w:eastAsia="zh-CN"/>
        </w:rPr>
        <w:t>危害后果分析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评价假定事故在10min内得到控制，事故发生后10min，20min和30min不同气象条件下SO</w:t>
      </w:r>
      <w:r>
        <w:rPr>
          <w:rFonts w:hint="default" w:ascii="Times New Roman" w:hAnsi="Times New Roman" w:eastAsia="宋体" w:cs="Times New Roman"/>
          <w:sz w:val="24"/>
          <w:vertAlign w:val="subscript"/>
        </w:rPr>
        <w:t>2</w:t>
      </w:r>
      <w:r>
        <w:rPr>
          <w:rFonts w:hint="default" w:ascii="Times New Roman" w:hAnsi="Times New Roman" w:eastAsia="宋体" w:cs="Times New Roman"/>
          <w:sz w:val="24"/>
        </w:rPr>
        <w:t>、CO对下风向的影响见表</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-1</w:t>
      </w: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-2</w:t>
      </w:r>
      <w:r>
        <w:rPr>
          <w:rFonts w:hint="default" w:ascii="Times New Roman" w:hAnsi="Times New Roman" w:eastAsia="宋体" w:cs="Times New Roman"/>
          <w:sz w:val="24"/>
        </w:rPr>
        <w:t>。由表可知，在0.5m/s、F稳定度气象条件下，事故发生10min时原油储罐泄漏燃烧烟气SO</w:t>
      </w:r>
      <w:r>
        <w:rPr>
          <w:rFonts w:hint="default" w:ascii="Times New Roman" w:hAnsi="Times New Roman" w:eastAsia="宋体" w:cs="Times New Roman"/>
          <w:sz w:val="24"/>
          <w:vertAlign w:val="subscript"/>
        </w:rPr>
        <w:t>2</w:t>
      </w:r>
      <w:r>
        <w:rPr>
          <w:rFonts w:hint="default" w:ascii="Times New Roman" w:hAnsi="Times New Roman" w:eastAsia="宋体" w:cs="Times New Roman"/>
          <w:sz w:val="24"/>
        </w:rPr>
        <w:t>的半致死浓度最大，事故泄露影响包络线范围见图</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-1</w:t>
      </w:r>
      <w:r>
        <w:rPr>
          <w:rFonts w:hint="default" w:ascii="Times New Roman" w:hAnsi="Times New Roman" w:eastAsia="宋体" w:cs="Times New Roman"/>
          <w:sz w:val="24"/>
        </w:rPr>
        <w:t>。在2.02m/s、F稳定度气象条件下事故发生30min后原油储罐泄漏燃烧烟气CO的半致死浓度最大。</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rPr>
      </w:pPr>
      <w:r>
        <w:rPr>
          <w:rFonts w:hint="default" w:ascii="Times New Roman" w:hAnsi="Times New Roman" w:eastAsia="宋体" w:cs="Times New Roman"/>
          <w:sz w:val="24"/>
        </w:rPr>
        <w:t>由表</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-1</w:t>
      </w:r>
      <w:r>
        <w:rPr>
          <w:rFonts w:hint="default" w:ascii="Times New Roman" w:hAnsi="Times New Roman" w:eastAsia="宋体" w:cs="Times New Roman"/>
          <w:sz w:val="24"/>
        </w:rPr>
        <w:t>、</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w:t>
      </w:r>
      <w:r>
        <w:rPr>
          <w:rFonts w:hint="eastAsia" w:ascii="Times New Roman" w:hAnsi="Times New Roman" w:eastAsia="宋体" w:cs="Times New Roman"/>
          <w:sz w:val="24"/>
          <w:lang w:val="en-US" w:eastAsia="zh-CN"/>
        </w:rPr>
        <w:t>5</w:t>
      </w:r>
      <w:r>
        <w:rPr>
          <w:rFonts w:hint="default" w:ascii="Times New Roman" w:hAnsi="Times New Roman" w:eastAsia="宋体" w:cs="Times New Roman"/>
          <w:sz w:val="24"/>
          <w:lang w:val="en-US" w:eastAsia="zh-CN"/>
        </w:rPr>
        <w:t>-2</w:t>
      </w:r>
      <w:r>
        <w:rPr>
          <w:rFonts w:hint="default" w:ascii="Times New Roman" w:hAnsi="Times New Roman" w:eastAsia="宋体" w:cs="Times New Roman"/>
          <w:sz w:val="24"/>
        </w:rPr>
        <w:t>可以看出，在风向一定的条件下，原油储罐火灾产生的SO</w:t>
      </w:r>
      <w:r>
        <w:rPr>
          <w:rFonts w:hint="default" w:ascii="Times New Roman" w:hAnsi="Times New Roman" w:eastAsia="宋体" w:cs="Times New Roman"/>
          <w:sz w:val="24"/>
          <w:vertAlign w:val="subscript"/>
        </w:rPr>
        <w:t>2</w:t>
      </w:r>
      <w:r>
        <w:rPr>
          <w:rFonts w:hint="default" w:ascii="Times New Roman" w:hAnsi="Times New Roman" w:eastAsia="宋体" w:cs="Times New Roman"/>
          <w:sz w:val="24"/>
        </w:rPr>
        <w:t>对下风向造成影响最远的气象条件为事故发生10min后F稳定度、0.5m/s风速，该气象条件下，超过半致死浓度的最远距离为19.4m，面积达到2.20×10</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2</w:t>
      </w:r>
      <w:r>
        <w:rPr>
          <w:rFonts w:hint="default" w:ascii="Times New Roman" w:hAnsi="Times New Roman" w:eastAsia="宋体" w:cs="Times New Roman"/>
          <w:sz w:val="24"/>
        </w:rPr>
        <w:t>。原油储罐火灾产生的CO对下风向造成影响最远的气象条件为事故发生20min后F稳定度、1.5m/s风速，该气象条件下，超过半致死浓度的最远距离为944.7m，面积达到3.67×10</w:t>
      </w:r>
      <w:r>
        <w:rPr>
          <w:rFonts w:hint="default" w:ascii="Times New Roman" w:hAnsi="Times New Roman" w:eastAsia="宋体" w:cs="Times New Roman"/>
          <w:sz w:val="24"/>
          <w:vertAlign w:val="superscript"/>
        </w:rPr>
        <w:t>4</w:t>
      </w:r>
      <w:r>
        <w:rPr>
          <w:rFonts w:hint="default" w:ascii="Times New Roman" w:hAnsi="Times New Roman" w:eastAsia="宋体" w:cs="Times New Roman"/>
          <w:sz w:val="24"/>
        </w:rPr>
        <w:t>m</w:t>
      </w:r>
      <w:r>
        <w:rPr>
          <w:rFonts w:hint="default" w:ascii="Times New Roman" w:hAnsi="Times New Roman" w:eastAsia="宋体" w:cs="Times New Roman"/>
          <w:sz w:val="24"/>
          <w:vertAlign w:val="superscript"/>
        </w:rPr>
        <w:t>2</w:t>
      </w:r>
      <w:r>
        <w:rPr>
          <w:rFonts w:hint="eastAsia" w:ascii="Times New Roman" w:hAnsi="Times New Roman" w:eastAsia="宋体" w:cs="Times New Roman"/>
          <w:sz w:val="24"/>
          <w:lang w:eastAsia="zh-CN"/>
        </w:rPr>
        <w:t>。</w:t>
      </w:r>
      <w:r>
        <w:rPr>
          <w:rFonts w:hint="default" w:ascii="Times New Roman" w:hAnsi="Times New Roman" w:eastAsia="宋体" w:cs="Times New Roman"/>
          <w:sz w:val="24"/>
        </w:rPr>
        <w:t>事故泄露影响包络线范围见图</w:t>
      </w:r>
      <w:r>
        <w:rPr>
          <w:rFonts w:hint="eastAsia" w:ascii="Times New Roman" w:hAnsi="Times New Roman" w:eastAsia="宋体" w:cs="Times New Roman"/>
          <w:sz w:val="24"/>
          <w:lang w:val="en-US" w:eastAsia="zh-CN"/>
        </w:rPr>
        <w:t>5.5-1</w:t>
      </w:r>
      <w:r>
        <w:rPr>
          <w:rFonts w:hint="default" w:ascii="Times New Roman" w:hAnsi="Times New Roman" w:eastAsia="宋体" w:cs="Times New Roman"/>
          <w:sz w:val="24"/>
        </w:rPr>
        <w:t>和图</w:t>
      </w:r>
      <w:r>
        <w:rPr>
          <w:rFonts w:hint="eastAsia" w:ascii="Times New Roman" w:hAnsi="Times New Roman" w:eastAsia="宋体" w:cs="Times New Roman"/>
          <w:sz w:val="24"/>
          <w:lang w:val="en-US" w:eastAsia="zh-CN"/>
        </w:rPr>
        <w:t>5.5-2</w:t>
      </w:r>
      <w:r>
        <w:rPr>
          <w:rFonts w:hint="default" w:ascii="Times New Roman" w:hAnsi="Times New Roman" w:eastAsia="宋体" w:cs="Times New Roman"/>
          <w:sz w:val="24"/>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w:t>
      </w:r>
      <w:r>
        <w:rPr>
          <w:rFonts w:hint="eastAsia" w:ascii="Times New Roman" w:hAnsi="Times New Roman" w:eastAsia="宋体" w:cs="Times New Roman"/>
          <w:b/>
          <w:sz w:val="24"/>
          <w:szCs w:val="24"/>
          <w:lang w:val="en-US" w:eastAsia="zh-CN"/>
        </w:rPr>
        <w:t>5</w:t>
      </w:r>
      <w:r>
        <w:rPr>
          <w:rFonts w:hint="default" w:ascii="Times New Roman" w:hAnsi="Times New Roman" w:eastAsia="宋体" w:cs="Times New Roman"/>
          <w:b/>
          <w:sz w:val="24"/>
          <w:szCs w:val="24"/>
          <w:lang w:val="en-US" w:eastAsia="zh-CN"/>
        </w:rPr>
        <w:t>.</w:t>
      </w:r>
      <w:r>
        <w:rPr>
          <w:rFonts w:hint="eastAsia" w:ascii="Times New Roman" w:hAnsi="Times New Roman" w:eastAsia="宋体" w:cs="Times New Roman"/>
          <w:b/>
          <w:sz w:val="24"/>
          <w:szCs w:val="24"/>
          <w:lang w:val="en-US" w:eastAsia="zh-CN"/>
        </w:rPr>
        <w:t>5</w:t>
      </w:r>
      <w:r>
        <w:rPr>
          <w:rFonts w:hint="default" w:ascii="Times New Roman" w:hAnsi="Times New Roman" w:eastAsia="宋体" w:cs="Times New Roman"/>
          <w:b/>
          <w:sz w:val="24"/>
          <w:szCs w:val="24"/>
          <w:lang w:val="en-US" w:eastAsia="zh-CN"/>
        </w:rPr>
        <w:t xml:space="preserve">-1   </w:t>
      </w:r>
      <w:r>
        <w:rPr>
          <w:rFonts w:hint="default" w:ascii="Times New Roman" w:hAnsi="Times New Roman" w:eastAsia="宋体" w:cs="Times New Roman"/>
          <w:b/>
          <w:sz w:val="24"/>
          <w:szCs w:val="24"/>
        </w:rPr>
        <w:t>原油储罐火灾爆炸后次生事故SO</w:t>
      </w:r>
      <w:r>
        <w:rPr>
          <w:rFonts w:hint="default" w:ascii="Times New Roman" w:hAnsi="Times New Roman" w:eastAsia="宋体" w:cs="Times New Roman"/>
          <w:b/>
          <w:sz w:val="24"/>
          <w:szCs w:val="24"/>
          <w:vertAlign w:val="subscript"/>
        </w:rPr>
        <w:t>2</w:t>
      </w:r>
      <w:r>
        <w:rPr>
          <w:rFonts w:hint="default" w:ascii="Times New Roman" w:hAnsi="Times New Roman" w:eastAsia="宋体" w:cs="Times New Roman"/>
          <w:b/>
          <w:sz w:val="24"/>
          <w:szCs w:val="24"/>
        </w:rPr>
        <w:t>最大落地浓度以及事故后果分析</w:t>
      </w:r>
    </w:p>
    <w:tbl>
      <w:tblPr>
        <w:tblStyle w:val="21"/>
        <w:tblW w:w="4998"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575"/>
        <w:gridCol w:w="610"/>
        <w:gridCol w:w="905"/>
        <w:gridCol w:w="1102"/>
        <w:gridCol w:w="1010"/>
        <w:gridCol w:w="936"/>
        <w:gridCol w:w="1127"/>
        <w:gridCol w:w="1003"/>
        <w:gridCol w:w="1251"/>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稳定度</w:t>
            </w:r>
          </w:p>
        </w:tc>
        <w:tc>
          <w:tcPr>
            <w:tcW w:w="35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风速</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预测时刻（min）</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最大落地浓度mg/m</w:t>
            </w:r>
            <w:r>
              <w:rPr>
                <w:rFonts w:asciiTheme="minorEastAsia" w:hAnsiTheme="minorEastAsia"/>
                <w:sz w:val="18"/>
                <w:szCs w:val="18"/>
                <w:vertAlign w:val="superscript"/>
              </w:rPr>
              <w:t>3</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出现距离（m）</w:t>
            </w:r>
          </w:p>
        </w:tc>
        <w:tc>
          <w:tcPr>
            <w:tcW w:w="56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半致死浓度范围（m）</w:t>
            </w: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立即威胁生命和健康浓度（m）</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居住区最高允许浓度（m）</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超过二级空气质量标准的范围（m）</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静风</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3,392.77</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4.1</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31.2</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553.1</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553.1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0.305</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295.4</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p>
        </w:tc>
        <w:tc>
          <w:tcPr>
            <w:tcW w:w="746" w:type="pct"/>
            <w:tcBorders>
              <w:tl2br w:val="nil"/>
              <w:tr2bl w:val="nil"/>
            </w:tcBorders>
            <w:vAlign w:val="center"/>
          </w:tcPr>
          <w:p>
            <w:pPr>
              <w:jc w:val="center"/>
              <w:rPr>
                <w:rFonts w:asciiTheme="minorEastAsia" w:hAnsiTheme="minorEastAsia"/>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0.0572</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553.1</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p>
        </w:tc>
        <w:tc>
          <w:tcPr>
            <w:tcW w:w="746" w:type="pct"/>
            <w:tcBorders>
              <w:tl2br w:val="nil"/>
              <w:tr2bl w:val="nil"/>
            </w:tcBorders>
            <w:vAlign w:val="center"/>
          </w:tcPr>
          <w:p>
            <w:pPr>
              <w:jc w:val="center"/>
              <w:rPr>
                <w:rFonts w:asciiTheme="minorEastAsia" w:hAnsiTheme="minorEastAsia"/>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静风</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27,458.33</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3.6</w:t>
            </w:r>
          </w:p>
        </w:tc>
        <w:tc>
          <w:tcPr>
            <w:tcW w:w="56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13.5</w:t>
            </w: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74.2</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565.2</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565.2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5.0831</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251.3</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901.3</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901.3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0.959</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470.8</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1,024.10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1,024.10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静风</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12,590.03</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6.8</w:t>
            </w:r>
          </w:p>
        </w:tc>
        <w:tc>
          <w:tcPr>
            <w:tcW w:w="56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19.4</w:t>
            </w: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113.7</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579.7</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579.7</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15.4095</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231.9</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975.5</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975.5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2.9109</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434.4</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1,264.80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1,264.80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2,387.63</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10.9</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102.9</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997.2</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997.2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7.8319</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824.7</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1,691.90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1,691.90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2.12</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1,578.00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2,290.40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2,290.40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4,389.68</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9.8</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180.9</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837.9</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837.9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31.9646</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712.4</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1,522.30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1,522.30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10.4159</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1,391.30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2,160.70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2,160.70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F</w:t>
            </w:r>
          </w:p>
        </w:tc>
        <w:tc>
          <w:tcPr>
            <w:tcW w:w="350" w:type="pct"/>
            <w:vMerge w:val="restar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1.5</w:t>
            </w:r>
          </w:p>
        </w:tc>
        <w:tc>
          <w:tcPr>
            <w:tcW w:w="490" w:type="pc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8,951.87</w:t>
            </w:r>
          </w:p>
        </w:tc>
        <w:tc>
          <w:tcPr>
            <w:tcW w:w="617"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9.2</w:t>
            </w:r>
          </w:p>
        </w:tc>
        <w:tc>
          <w:tcPr>
            <w:tcW w:w="561"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9.9</w:t>
            </w:r>
          </w:p>
        </w:tc>
        <w:tc>
          <w:tcPr>
            <w:tcW w:w="673"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490.1</w:t>
            </w:r>
          </w:p>
        </w:tc>
        <w:tc>
          <w:tcPr>
            <w:tcW w:w="56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679.5</w:t>
            </w:r>
          </w:p>
        </w:tc>
        <w:tc>
          <w:tcPr>
            <w:tcW w:w="746"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679.5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350"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490" w:type="pc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192.9504</w:t>
            </w:r>
          </w:p>
        </w:tc>
        <w:tc>
          <w:tcPr>
            <w:tcW w:w="617"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630.3</w:t>
            </w:r>
          </w:p>
        </w:tc>
        <w:tc>
          <w:tcPr>
            <w:tcW w:w="561" w:type="pct"/>
            <w:tcBorders>
              <w:tl2br w:val="nil"/>
              <w:tr2bl w:val="nil"/>
            </w:tcBorders>
            <w:shd w:val="clear" w:color="FFFF00" w:fill="auto"/>
            <w:vAlign w:val="center"/>
          </w:tcPr>
          <w:p>
            <w:pPr>
              <w:jc w:val="center"/>
              <w:rPr>
                <w:rFonts w:asciiTheme="minorEastAsia" w:hAnsiTheme="minorEastAsia"/>
                <w:sz w:val="18"/>
                <w:szCs w:val="18"/>
              </w:rPr>
            </w:pPr>
          </w:p>
        </w:tc>
        <w:tc>
          <w:tcPr>
            <w:tcW w:w="673" w:type="pct"/>
            <w:tcBorders>
              <w:tl2br w:val="nil"/>
              <w:tr2bl w:val="nil"/>
            </w:tcBorders>
            <w:shd w:val="clear" w:color="FFFF00" w:fill="auto"/>
            <w:vAlign w:val="center"/>
          </w:tcPr>
          <w:p>
            <w:pPr>
              <w:jc w:val="center"/>
              <w:rPr>
                <w:rFonts w:asciiTheme="minorEastAsia" w:hAnsiTheme="minorEastAsia"/>
                <w:sz w:val="18"/>
                <w:szCs w:val="18"/>
              </w:rPr>
            </w:pPr>
          </w:p>
        </w:tc>
        <w:tc>
          <w:tcPr>
            <w:tcW w:w="56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1,311.10</w:t>
            </w:r>
          </w:p>
        </w:tc>
        <w:tc>
          <w:tcPr>
            <w:tcW w:w="746"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1,311.10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350"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490" w:type="pc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81.1683</w:t>
            </w:r>
          </w:p>
        </w:tc>
        <w:tc>
          <w:tcPr>
            <w:tcW w:w="617"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1,252.10</w:t>
            </w:r>
          </w:p>
        </w:tc>
        <w:tc>
          <w:tcPr>
            <w:tcW w:w="561" w:type="pct"/>
            <w:tcBorders>
              <w:tl2br w:val="nil"/>
              <w:tr2bl w:val="nil"/>
            </w:tcBorders>
            <w:shd w:val="clear" w:color="FFFF00" w:fill="auto"/>
            <w:vAlign w:val="center"/>
          </w:tcPr>
          <w:p>
            <w:pPr>
              <w:jc w:val="center"/>
              <w:rPr>
                <w:rFonts w:asciiTheme="minorEastAsia" w:hAnsiTheme="minorEastAsia"/>
                <w:sz w:val="18"/>
                <w:szCs w:val="18"/>
              </w:rPr>
            </w:pPr>
          </w:p>
        </w:tc>
        <w:tc>
          <w:tcPr>
            <w:tcW w:w="673" w:type="pct"/>
            <w:tcBorders>
              <w:tl2br w:val="nil"/>
              <w:tr2bl w:val="nil"/>
            </w:tcBorders>
            <w:shd w:val="clear" w:color="FFFF00" w:fill="auto"/>
            <w:vAlign w:val="center"/>
          </w:tcPr>
          <w:p>
            <w:pPr>
              <w:jc w:val="center"/>
              <w:rPr>
                <w:rFonts w:asciiTheme="minorEastAsia" w:hAnsiTheme="minorEastAsia"/>
                <w:sz w:val="18"/>
                <w:szCs w:val="18"/>
              </w:rPr>
            </w:pPr>
          </w:p>
        </w:tc>
        <w:tc>
          <w:tcPr>
            <w:tcW w:w="56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1,928.20</w:t>
            </w:r>
          </w:p>
        </w:tc>
        <w:tc>
          <w:tcPr>
            <w:tcW w:w="746"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1,928.20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1,671.06</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14.6</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80.9</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1,212.40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1,212.40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3.3765</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1,114.40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2,044.90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2,044.90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0.9155</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2,133.60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2,701.30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2,701.30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3,311.82</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13.1</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142.3</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1,064.40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1,064.40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14.7172</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955.4</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1,931.20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1,931.20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4.7474</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1,872.30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2,735.90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2,735.90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p>
            <w:pPr>
              <w:jc w:val="center"/>
              <w:rPr>
                <w:rFonts w:asciiTheme="minorEastAsia" w:hAnsiTheme="minorEastAsia"/>
                <w:sz w:val="18"/>
                <w:szCs w:val="18"/>
              </w:rPr>
            </w:pP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7,199.45</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12.4</w:t>
            </w:r>
          </w:p>
        </w:tc>
        <w:tc>
          <w:tcPr>
            <w:tcW w:w="56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12.9</w:t>
            </w: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384</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895.9</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895.9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97.6719</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845.4</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1,729.30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1,729.30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42.2105</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1,679.70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2,543.70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2,543.70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913.5759</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22.1</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55.5</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1,589.40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1,589.40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1.0173</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1,702.40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2,534.40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2,534.40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0.2735</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3,281.00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p>
        </w:tc>
        <w:tc>
          <w:tcPr>
            <w:tcW w:w="746" w:type="pct"/>
            <w:tcBorders>
              <w:tl2br w:val="nil"/>
              <w:tr2bl w:val="nil"/>
            </w:tcBorders>
            <w:vAlign w:val="center"/>
          </w:tcPr>
          <w:p>
            <w:pPr>
              <w:jc w:val="center"/>
              <w:rPr>
                <w:rFonts w:asciiTheme="minorEastAsia" w:hAnsiTheme="minorEastAsia"/>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2,036.80</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19.9</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98</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1,492.50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1,492.50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4.8366</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1,457.10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2,693.40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2,693.40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1.5243</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2,860.60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3,771.60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3,771.60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5,040.44</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18.9</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257.9</w:t>
            </w: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1,329.60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1,329.60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37.8828</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1,294.20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2,567.10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2,567.10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continue"/>
            <w:tcBorders>
              <w:tl2br w:val="nil"/>
              <w:tr2bl w:val="nil"/>
            </w:tcBorders>
            <w:vAlign w:val="center"/>
          </w:tcPr>
          <w:p>
            <w:pPr>
              <w:jc w:val="center"/>
              <w:rPr>
                <w:rFonts w:asciiTheme="minorEastAsia" w:hAnsiTheme="minorEastAsia"/>
                <w:sz w:val="18"/>
                <w:szCs w:val="18"/>
              </w:rPr>
            </w:pPr>
          </w:p>
        </w:tc>
        <w:tc>
          <w:tcPr>
            <w:tcW w:w="350" w:type="pct"/>
            <w:vMerge w:val="continue"/>
            <w:tcBorders>
              <w:tl2br w:val="nil"/>
              <w:tr2bl w:val="nil"/>
            </w:tcBorders>
            <w:vAlign w:val="center"/>
          </w:tcPr>
          <w:p>
            <w:pPr>
              <w:jc w:val="center"/>
              <w:rPr>
                <w:rFonts w:asciiTheme="minorEastAsia" w:hAnsiTheme="minorEastAsia"/>
                <w:sz w:val="18"/>
                <w:szCs w:val="18"/>
              </w:rPr>
            </w:pPr>
          </w:p>
        </w:tc>
        <w:tc>
          <w:tcPr>
            <w:tcW w:w="49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16.2138</w:t>
            </w:r>
          </w:p>
        </w:tc>
        <w:tc>
          <w:tcPr>
            <w:tcW w:w="61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2,556.70</w:t>
            </w:r>
          </w:p>
        </w:tc>
        <w:tc>
          <w:tcPr>
            <w:tcW w:w="561" w:type="pct"/>
            <w:tcBorders>
              <w:tl2br w:val="nil"/>
              <w:tr2bl w:val="nil"/>
            </w:tcBorders>
            <w:vAlign w:val="center"/>
          </w:tcPr>
          <w:p>
            <w:pPr>
              <w:jc w:val="center"/>
              <w:rPr>
                <w:rFonts w:asciiTheme="minorEastAsia" w:hAnsiTheme="minorEastAsia"/>
                <w:sz w:val="18"/>
                <w:szCs w:val="18"/>
              </w:rPr>
            </w:pPr>
          </w:p>
        </w:tc>
        <w:tc>
          <w:tcPr>
            <w:tcW w:w="673"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3,775.20</w:t>
            </w:r>
          </w:p>
        </w:tc>
        <w:tc>
          <w:tcPr>
            <w:tcW w:w="74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3,775.20</w:t>
            </w:r>
          </w:p>
        </w:tc>
      </w:tr>
    </w:tbl>
    <w:p>
      <w:pPr>
        <w:jc w:val="center"/>
        <w:rPr>
          <w:rFonts w:hint="default" w:ascii="Times New Roman" w:hAnsi="Times New Roman" w:eastAsia="宋体" w:cs="Times New Roman"/>
          <w:b/>
          <w:sz w:val="24"/>
          <w:szCs w:val="24"/>
          <w:lang w:val="en-US" w:eastAsia="zh-CN"/>
        </w:rPr>
      </w:pPr>
    </w:p>
    <w:p>
      <w:pPr>
        <w:jc w:val="center"/>
        <w:rPr>
          <w:rFonts w:hint="default" w:ascii="Times New Roman" w:hAnsi="Times New Roman" w:eastAsia="宋体" w:cs="Times New Roman"/>
          <w:b/>
          <w:sz w:val="24"/>
          <w:szCs w:val="24"/>
          <w:lang w:val="en-US" w:eastAsia="zh-CN"/>
        </w:rPr>
      </w:pPr>
      <w:r>
        <w:rPr>
          <w:rFonts w:hint="default" w:ascii="Times New Roman" w:hAnsi="Times New Roman" w:eastAsia="宋体" w:cs="Times New Roman"/>
          <w:b/>
          <w:sz w:val="24"/>
          <w:szCs w:val="24"/>
          <w:lang w:val="en-US" w:eastAsia="zh-CN"/>
        </w:rPr>
        <w:t>表</w:t>
      </w:r>
      <w:r>
        <w:rPr>
          <w:rFonts w:hint="eastAsia" w:ascii="Times New Roman" w:hAnsi="Times New Roman" w:eastAsia="宋体" w:cs="Times New Roman"/>
          <w:b/>
          <w:sz w:val="24"/>
          <w:szCs w:val="24"/>
          <w:lang w:val="en-US" w:eastAsia="zh-CN"/>
        </w:rPr>
        <w:t xml:space="preserve">5.5-2   </w:t>
      </w:r>
      <w:r>
        <w:rPr>
          <w:rFonts w:hint="default" w:ascii="Times New Roman" w:hAnsi="Times New Roman" w:eastAsia="宋体" w:cs="Times New Roman"/>
          <w:b/>
          <w:sz w:val="24"/>
          <w:szCs w:val="24"/>
          <w:lang w:val="en-US" w:eastAsia="zh-CN"/>
        </w:rPr>
        <w:t>原油储罐火灾爆炸后次生事故CO最大落地浓度以及事故后果分析</w:t>
      </w:r>
    </w:p>
    <w:tbl>
      <w:tblPr>
        <w:tblStyle w:val="21"/>
        <w:tblW w:w="5000"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513"/>
        <w:gridCol w:w="610"/>
        <w:gridCol w:w="905"/>
        <w:gridCol w:w="1397"/>
        <w:gridCol w:w="1003"/>
        <w:gridCol w:w="837"/>
        <w:gridCol w:w="1065"/>
        <w:gridCol w:w="1003"/>
        <w:gridCol w:w="1189"/>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稳定度</w:t>
            </w:r>
          </w:p>
        </w:tc>
        <w:tc>
          <w:tcPr>
            <w:tcW w:w="350"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风速</w:t>
            </w:r>
          </w:p>
        </w:tc>
        <w:tc>
          <w:tcPr>
            <w:tcW w:w="49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预测时刻（</w:t>
            </w:r>
            <w:r>
              <w:rPr>
                <w:rFonts w:asciiTheme="minorEastAsia" w:hAnsiTheme="minorEastAsia"/>
                <w:sz w:val="18"/>
                <w:szCs w:val="18"/>
              </w:rPr>
              <w:t>min</w:t>
            </w:r>
            <w:r>
              <w:rPr>
                <w:rFonts w:hint="eastAsia" w:asciiTheme="minorEastAsia" w:hAnsiTheme="minorEastAsia"/>
                <w:sz w:val="18"/>
                <w:szCs w:val="18"/>
              </w:rPr>
              <w:t>）</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最大落地浓度</w:t>
            </w:r>
            <w:r>
              <w:rPr>
                <w:rFonts w:asciiTheme="minorEastAsia" w:hAnsiTheme="minorEastAsia"/>
                <w:sz w:val="18"/>
                <w:szCs w:val="18"/>
              </w:rPr>
              <w:t>mg/m3</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出现距离（</w:t>
            </w:r>
            <w:r>
              <w:rPr>
                <w:rFonts w:asciiTheme="minorEastAsia" w:hAnsiTheme="minorEastAsia"/>
                <w:sz w:val="18"/>
                <w:szCs w:val="18"/>
              </w:rPr>
              <w:t>m</w:t>
            </w:r>
            <w:r>
              <w:rPr>
                <w:rFonts w:hint="eastAsia" w:asciiTheme="minorEastAsia" w:hAnsiTheme="minorEastAsia"/>
                <w:sz w:val="18"/>
                <w:szCs w:val="18"/>
              </w:rPr>
              <w:t>）</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半致死浓度范围（</w:t>
            </w:r>
            <w:r>
              <w:rPr>
                <w:rFonts w:asciiTheme="minorEastAsia" w:hAnsiTheme="minorEastAsia"/>
                <w:sz w:val="18"/>
                <w:szCs w:val="18"/>
              </w:rPr>
              <w:t>m</w:t>
            </w:r>
            <w:r>
              <w:rPr>
                <w:rFonts w:hint="eastAsia" w:asciiTheme="minorEastAsia" w:hAnsiTheme="minorEastAsia"/>
                <w:sz w:val="18"/>
                <w:szCs w:val="18"/>
              </w:rPr>
              <w:t>）</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立即威胁生命和健康浓度（</w:t>
            </w:r>
            <w:r>
              <w:rPr>
                <w:rFonts w:asciiTheme="minorEastAsia" w:hAnsiTheme="minorEastAsia"/>
                <w:sz w:val="18"/>
                <w:szCs w:val="18"/>
              </w:rPr>
              <w:t>m</w:t>
            </w:r>
            <w:r>
              <w:rPr>
                <w:rFonts w:hint="eastAsia" w:asciiTheme="minorEastAsia" w:hAnsiTheme="minorEastAsia"/>
                <w:sz w:val="18"/>
                <w:szCs w:val="18"/>
              </w:rPr>
              <w:t>）</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居住区最高允许浓度（</w:t>
            </w:r>
            <w:r>
              <w:rPr>
                <w:rFonts w:asciiTheme="minorEastAsia" w:hAnsiTheme="minorEastAsia"/>
                <w:sz w:val="18"/>
                <w:szCs w:val="18"/>
              </w:rPr>
              <w:t>m</w:t>
            </w:r>
            <w:r>
              <w:rPr>
                <w:rFonts w:hint="eastAsia" w:asciiTheme="minorEastAsia" w:hAnsiTheme="minorEastAsia"/>
                <w:sz w:val="18"/>
                <w:szCs w:val="18"/>
              </w:rPr>
              <w:t>）</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超过二级空气质量标准的范围（</w:t>
            </w:r>
            <w:r>
              <w:rPr>
                <w:rFonts w:asciiTheme="minorEastAsia" w:hAnsiTheme="minorEastAsia"/>
                <w:sz w:val="18"/>
                <w:szCs w:val="18"/>
              </w:rPr>
              <w:t>m</w:t>
            </w:r>
            <w:r>
              <w:rPr>
                <w:rFonts w:hint="eastAsia" w:asciiTheme="minorEastAsia" w:hAnsiTheme="minorEastAsia"/>
                <w:sz w:val="18"/>
                <w:szCs w:val="18"/>
              </w:rPr>
              <w:t>）</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350" w:type="pct"/>
            <w:vMerge w:val="restar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静风</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238,120.23</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4.1</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47.4</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104.1</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963.6</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768.5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21.407</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295.4</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1,463.80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979.5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4.0121</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553.1</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1,306.30</w:t>
            </w:r>
          </w:p>
        </w:tc>
        <w:tc>
          <w:tcPr>
            <w:tcW w:w="746" w:type="pct"/>
            <w:tcBorders>
              <w:tl2br w:val="nil"/>
              <w:tr2bl w:val="nil"/>
            </w:tcBorders>
            <w:vAlign w:val="center"/>
          </w:tcPr>
          <w:p>
            <w:pPr>
              <w:jc w:val="center"/>
              <w:rPr>
                <w:rFonts w:asciiTheme="minorEastAsia" w:hAnsiTheme="minorEastAsia"/>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350" w:type="pct"/>
            <w:vMerge w:val="restar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静风</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1,927,152.60</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3.6</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110.9</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222.8</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733.1</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655.4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356.7553</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251.3</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1,281.70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1,107.00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67.3063</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470.8</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1,743.10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1,444.30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350" w:type="pct"/>
            <w:vMerge w:val="restar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静风</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883,626.50</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6.8</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165.5</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293.2</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716.3</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652.7</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1,081.51</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231.9</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1,280.90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1,139.90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204.2984</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434.4</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1,778.50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1,548.20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167,575.01</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10.9</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188.7</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510.1</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1,269.50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1,132.80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549.6757</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824.7</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2,151.70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1,927.30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148.7921</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1,578.00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2,952.60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2,639.70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308,088.21</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9.8</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332.4</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605.3</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970.2</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905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2,243.42</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712.4</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915.4</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1,754.60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1,642.50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731.0348</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1,391.30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2,493.30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2,334.80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628,283.73</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9.2</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559.4</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606.5</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717.5</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699.3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13,542.15</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630.3</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944.70</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1,159.80</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1,382.90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1,348.80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5,696.77</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1,252.10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1,691.80</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2,032.70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1,983.40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117,282.43</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14.6</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153.1</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433.2</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1,548.30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1,382.10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236.9775</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1,114.40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2,648.10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2,362.10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64.2537</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2,133.60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3,643.70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3,227.30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232,438.61</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13.1</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269.4</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708.2</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1,231.80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1,150.40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1,032.92</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955.4</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2,236.90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2,091.40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333.1955</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1,872.30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3,185.00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2,975.40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505,290.96</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12.4</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697.7</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792.6</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946.7</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922.5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6,855.06</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845.4</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1,505.40</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1,825.60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1,780.20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2,962.53</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1,679.70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2,162.80</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2,684.90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2,618.80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64,118.98</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22.1</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111.7</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332.5</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2,070.80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1,840.80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71.4011</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1,702.40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3,565.70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3,128.60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19.1925</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3,281.00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4,894.60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4,165.80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142,951.96</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19.9</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196.3</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588.1</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1,737.40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1,620.50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339.453</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1,457.10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3,170.20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2,951.10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106.9795</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2,860.60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4,520.20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4,191.80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350"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353,761.02</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18.9</w:t>
            </w:r>
          </w:p>
        </w:tc>
        <w:tc>
          <w:tcPr>
            <w:tcW w:w="561"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541.20</w:t>
            </w: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1,147.30</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1,406.60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1,370.40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2,658.79</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1,294.20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1,918.30</w:t>
            </w: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2,715.80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2,646.60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0" w:type="auto"/>
            <w:vMerge w:val="continue"/>
            <w:tcBorders>
              <w:tl2br w:val="nil"/>
              <w:tr2bl w:val="nil"/>
            </w:tcBorders>
            <w:vAlign w:val="center"/>
          </w:tcPr>
          <w:p>
            <w:pPr>
              <w:jc w:val="center"/>
              <w:rPr>
                <w:rFonts w:asciiTheme="minorEastAsia" w:hAnsiTheme="minorEastAsia"/>
                <w:sz w:val="18"/>
                <w:szCs w:val="18"/>
              </w:rPr>
            </w:pPr>
          </w:p>
        </w:tc>
        <w:tc>
          <w:tcPr>
            <w:tcW w:w="0" w:type="auto"/>
            <w:vMerge w:val="continue"/>
            <w:tcBorders>
              <w:tl2br w:val="nil"/>
              <w:tr2bl w:val="nil"/>
            </w:tcBorders>
            <w:vAlign w:val="center"/>
          </w:tcPr>
          <w:p>
            <w:pPr>
              <w:jc w:val="center"/>
              <w:rPr>
                <w:rFonts w:asciiTheme="minorEastAsia" w:hAnsiTheme="minorEastAsia"/>
                <w:sz w:val="18"/>
                <w:szCs w:val="18"/>
              </w:rPr>
            </w:pPr>
          </w:p>
        </w:tc>
        <w:tc>
          <w:tcPr>
            <w:tcW w:w="491"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648"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1,137.96</w:t>
            </w:r>
          </w:p>
        </w:tc>
        <w:tc>
          <w:tcPr>
            <w:tcW w:w="617"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2,556.70</w:t>
            </w:r>
          </w:p>
        </w:tc>
        <w:tc>
          <w:tcPr>
            <w:tcW w:w="561" w:type="pct"/>
            <w:tcBorders>
              <w:tl2br w:val="nil"/>
              <w:tr2bl w:val="nil"/>
            </w:tcBorders>
            <w:vAlign w:val="center"/>
          </w:tcPr>
          <w:p>
            <w:pPr>
              <w:jc w:val="center"/>
              <w:rPr>
                <w:rFonts w:asciiTheme="minorEastAsia" w:hAnsiTheme="minorEastAsia"/>
                <w:sz w:val="18"/>
                <w:szCs w:val="18"/>
              </w:rPr>
            </w:pPr>
          </w:p>
        </w:tc>
        <w:tc>
          <w:tcPr>
            <w:tcW w:w="674" w:type="pct"/>
            <w:tcBorders>
              <w:tl2br w:val="nil"/>
              <w:tr2bl w:val="nil"/>
            </w:tcBorders>
            <w:vAlign w:val="center"/>
          </w:tcPr>
          <w:p>
            <w:pPr>
              <w:jc w:val="center"/>
              <w:rPr>
                <w:rFonts w:asciiTheme="minorEastAsia" w:hAnsiTheme="minorEastAsia"/>
                <w:sz w:val="18"/>
                <w:szCs w:val="18"/>
              </w:rPr>
            </w:pPr>
          </w:p>
        </w:tc>
        <w:tc>
          <w:tcPr>
            <w:tcW w:w="562"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3,997.00</w:t>
            </w:r>
          </w:p>
        </w:tc>
        <w:tc>
          <w:tcPr>
            <w:tcW w:w="746" w:type="pct"/>
            <w:tcBorders>
              <w:tl2br w:val="nil"/>
              <w:tr2bl w:val="nil"/>
            </w:tcBorders>
            <w:vAlign w:val="center"/>
          </w:tcPr>
          <w:p>
            <w:pPr>
              <w:jc w:val="center"/>
              <w:rPr>
                <w:rFonts w:asciiTheme="minorEastAsia" w:hAnsiTheme="minorEastAsia"/>
                <w:sz w:val="18"/>
                <w:szCs w:val="18"/>
              </w:rPr>
            </w:pPr>
            <w:r>
              <w:rPr>
                <w:rFonts w:hint="eastAsia" w:asciiTheme="minorEastAsia" w:hAnsiTheme="minorEastAsia"/>
                <w:sz w:val="18"/>
                <w:szCs w:val="18"/>
              </w:rPr>
              <w:t>3,894.80</w:t>
            </w:r>
          </w:p>
        </w:tc>
      </w:tr>
    </w:tbl>
    <w:p>
      <w:pPr>
        <w:spacing w:line="360" w:lineRule="auto"/>
        <w:ind w:firstLine="482" w:firstLineChars="200"/>
        <w:rPr>
          <w:rFonts w:hint="eastAsia" w:asciiTheme="minorEastAsia" w:hAnsiTheme="minorEastAsia"/>
          <w:b/>
          <w:sz w:val="24"/>
        </w:rPr>
      </w:pPr>
    </w:p>
    <w:p>
      <w:pPr>
        <w:spacing w:line="360" w:lineRule="auto"/>
        <w:ind w:firstLine="482" w:firstLineChars="200"/>
        <w:rPr>
          <w:rFonts w:hint="eastAsia" w:asciiTheme="minorEastAsia" w:hAnsiTheme="minorEastAsia"/>
          <w:b/>
          <w:sz w:val="24"/>
        </w:rPr>
      </w:pPr>
    </w:p>
    <w:p>
      <w:pPr>
        <w:rPr>
          <w:rFonts w:asciiTheme="minorEastAsia" w:hAnsiTheme="minorEastAsia"/>
          <w:sz w:val="24"/>
        </w:rPr>
      </w:pPr>
      <w:r>
        <w:rPr>
          <w:rFonts w:asciiTheme="minorEastAsia" w:hAnsiTheme="minorEastAsia"/>
          <w:sz w:val="24"/>
        </w:rPr>
        <w:drawing>
          <wp:inline distT="0" distB="0" distL="0" distR="0">
            <wp:extent cx="4851400" cy="3314700"/>
            <wp:effectExtent l="9525" t="9525" r="15875" b="9525"/>
            <wp:docPr id="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8"/>
                    <pic:cNvPicPr>
                      <a:picLocks noChangeAspect="1" noChangeArrowheads="1"/>
                    </pic:cNvPicPr>
                  </pic:nvPicPr>
                  <pic:blipFill>
                    <a:blip r:embed="rId74" cstate="print"/>
                    <a:srcRect/>
                    <a:stretch>
                      <a:fillRect/>
                    </a:stretch>
                  </pic:blipFill>
                  <pic:spPr>
                    <a:xfrm>
                      <a:off x="0" y="0"/>
                      <a:ext cx="4851400" cy="3314700"/>
                    </a:xfrm>
                    <a:prstGeom prst="rect">
                      <a:avLst/>
                    </a:prstGeom>
                    <a:noFill/>
                    <a:ln w="9525" cmpd="sng">
                      <a:solidFill>
                        <a:srgbClr val="000000"/>
                      </a:solidFill>
                      <a:miter lim="800000"/>
                      <a:headEnd/>
                      <a:tailEnd/>
                    </a:ln>
                    <a:effectLst/>
                  </pic:spPr>
                </pic:pic>
              </a:graphicData>
            </a:graphic>
          </wp:inline>
        </w:drawing>
      </w:r>
    </w:p>
    <w:p>
      <w:pPr>
        <w:jc w:val="center"/>
        <w:rPr>
          <w:rFonts w:asciiTheme="minorEastAsia" w:hAnsiTheme="minorEastAsia"/>
          <w:b/>
        </w:rPr>
      </w:pPr>
      <w:r>
        <w:rPr>
          <w:rFonts w:asciiTheme="minorEastAsia" w:hAnsiTheme="minorEastAsia"/>
          <w:b/>
        </w:rPr>
        <w:t>图</w:t>
      </w:r>
      <w:r>
        <w:rPr>
          <w:rFonts w:hint="eastAsia" w:asciiTheme="minorEastAsia" w:hAnsiTheme="minorEastAsia"/>
          <w:b/>
          <w:lang w:val="en-US" w:eastAsia="zh-CN"/>
        </w:rPr>
        <w:t xml:space="preserve">5.5-1   </w:t>
      </w:r>
      <w:r>
        <w:rPr>
          <w:rFonts w:asciiTheme="minorEastAsia" w:hAnsiTheme="minorEastAsia"/>
          <w:b/>
        </w:rPr>
        <w:t>原油储罐泄漏燃烧烟气</w:t>
      </w:r>
      <w:r>
        <w:rPr>
          <w:rFonts w:hint="eastAsia" w:asciiTheme="minorEastAsia" w:hAnsiTheme="minorEastAsia"/>
          <w:b/>
        </w:rPr>
        <w:t>SO</w:t>
      </w:r>
      <w:r>
        <w:rPr>
          <w:rFonts w:hint="eastAsia" w:asciiTheme="minorEastAsia" w:hAnsiTheme="minorEastAsia"/>
          <w:b/>
          <w:vertAlign w:val="subscript"/>
        </w:rPr>
        <w:t>2</w:t>
      </w:r>
      <w:r>
        <w:rPr>
          <w:rFonts w:asciiTheme="minorEastAsia" w:hAnsiTheme="minorEastAsia"/>
          <w:b/>
        </w:rPr>
        <w:t>扩散影响预测</w:t>
      </w:r>
      <w:r>
        <w:rPr>
          <w:rFonts w:hint="eastAsia" w:asciiTheme="minorEastAsia" w:hAnsiTheme="minorEastAsia"/>
          <w:b/>
        </w:rPr>
        <w:t>（风速0.5m/s，F稳定度，10min）</w:t>
      </w:r>
    </w:p>
    <w:p>
      <w:pPr>
        <w:rPr>
          <w:rFonts w:asciiTheme="minorEastAsia" w:hAnsiTheme="minorEastAsia"/>
          <w:sz w:val="24"/>
        </w:rPr>
      </w:pPr>
    </w:p>
    <w:p>
      <w:pPr>
        <w:rPr>
          <w:rFonts w:asciiTheme="minorEastAsia" w:hAnsiTheme="minorEastAsia"/>
          <w:sz w:val="24"/>
        </w:rPr>
      </w:pPr>
      <w:r>
        <w:rPr>
          <w:rFonts w:asciiTheme="minorEastAsia" w:hAnsiTheme="minorEastAsia"/>
          <w:sz w:val="24"/>
        </w:rPr>
        <w:drawing>
          <wp:inline distT="0" distB="0" distL="0" distR="0">
            <wp:extent cx="5181600" cy="3314700"/>
            <wp:effectExtent l="12700" t="12700" r="25400" b="25400"/>
            <wp:docPr id="2"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9"/>
                    <pic:cNvPicPr>
                      <a:picLocks noChangeAspect="1" noChangeArrowheads="1"/>
                    </pic:cNvPicPr>
                  </pic:nvPicPr>
                  <pic:blipFill>
                    <a:blip r:embed="rId75" cstate="print"/>
                    <a:srcRect/>
                    <a:stretch>
                      <a:fillRect/>
                    </a:stretch>
                  </pic:blipFill>
                  <pic:spPr>
                    <a:xfrm>
                      <a:off x="0" y="0"/>
                      <a:ext cx="5181600" cy="3314700"/>
                    </a:xfrm>
                    <a:prstGeom prst="rect">
                      <a:avLst/>
                    </a:prstGeom>
                    <a:noFill/>
                    <a:ln w="12700" cmpd="sng">
                      <a:solidFill>
                        <a:srgbClr val="000000"/>
                      </a:solidFill>
                      <a:miter lim="800000"/>
                      <a:headEnd/>
                      <a:tailEnd/>
                    </a:ln>
                    <a:effectLst/>
                  </pic:spPr>
                </pic:pic>
              </a:graphicData>
            </a:graphic>
          </wp:inline>
        </w:drawing>
      </w:r>
    </w:p>
    <w:p>
      <w:pPr>
        <w:rPr>
          <w:rFonts w:asciiTheme="minorEastAsia" w:hAnsiTheme="minorEastAsia"/>
          <w:b/>
        </w:rPr>
      </w:pPr>
      <w:r>
        <w:rPr>
          <w:rFonts w:asciiTheme="minorEastAsia" w:hAnsiTheme="minorEastAsia"/>
          <w:b/>
        </w:rPr>
        <w:t>图</w:t>
      </w:r>
      <w:r>
        <w:rPr>
          <w:rFonts w:hint="eastAsia" w:asciiTheme="minorEastAsia" w:hAnsiTheme="minorEastAsia"/>
          <w:b/>
          <w:lang w:val="en-US" w:eastAsia="zh-CN"/>
        </w:rPr>
        <w:t xml:space="preserve">5.5-2   </w:t>
      </w:r>
      <w:r>
        <w:rPr>
          <w:rFonts w:asciiTheme="minorEastAsia" w:hAnsiTheme="minorEastAsia"/>
          <w:b/>
        </w:rPr>
        <w:t>原油储罐泄漏燃烧烟气</w:t>
      </w:r>
      <w:r>
        <w:rPr>
          <w:rFonts w:hint="eastAsia" w:asciiTheme="minorEastAsia" w:hAnsiTheme="minorEastAsia"/>
          <w:b/>
        </w:rPr>
        <w:t>CO</w:t>
      </w:r>
      <w:r>
        <w:rPr>
          <w:rFonts w:asciiTheme="minorEastAsia" w:hAnsiTheme="minorEastAsia"/>
          <w:b/>
        </w:rPr>
        <w:t>扩散影响预测</w:t>
      </w:r>
      <w:r>
        <w:rPr>
          <w:rFonts w:hint="eastAsia" w:asciiTheme="minorEastAsia" w:hAnsiTheme="minorEastAsia"/>
          <w:b/>
        </w:rPr>
        <w:t>（风速</w:t>
      </w:r>
      <w:r>
        <w:rPr>
          <w:rFonts w:asciiTheme="minorEastAsia" w:hAnsiTheme="minorEastAsia"/>
          <w:b/>
        </w:rPr>
        <w:t>1</w:t>
      </w:r>
      <w:r>
        <w:rPr>
          <w:rFonts w:hint="eastAsia" w:asciiTheme="minorEastAsia" w:hAnsiTheme="minorEastAsia"/>
          <w:b/>
        </w:rPr>
        <w:t>.5m/s，</w:t>
      </w:r>
      <w:r>
        <w:rPr>
          <w:rFonts w:asciiTheme="minorEastAsia" w:hAnsiTheme="minorEastAsia"/>
          <w:b/>
        </w:rPr>
        <w:t>F</w:t>
      </w:r>
      <w:r>
        <w:rPr>
          <w:rFonts w:hint="eastAsia" w:asciiTheme="minorEastAsia" w:hAnsiTheme="minorEastAsia"/>
          <w:b/>
        </w:rPr>
        <w:t>稳定度，</w:t>
      </w:r>
      <w:r>
        <w:rPr>
          <w:rFonts w:asciiTheme="minorEastAsia" w:hAnsiTheme="minorEastAsia"/>
          <w:b/>
        </w:rPr>
        <w:t>2</w:t>
      </w:r>
      <w:r>
        <w:rPr>
          <w:rFonts w:hint="eastAsia" w:asciiTheme="minorEastAsia" w:hAnsiTheme="minorEastAsia"/>
          <w:b/>
        </w:rPr>
        <w:t>0min）</w:t>
      </w:r>
    </w:p>
    <w:p>
      <w:pPr>
        <w:pStyle w:val="5"/>
        <w:bidi w:val="0"/>
        <w:rPr>
          <w:rFonts w:hint="eastAsia"/>
          <w:lang w:val="en-US" w:eastAsia="zh-CN"/>
        </w:rPr>
      </w:pPr>
      <w:bookmarkStart w:id="391" w:name="_Toc18130"/>
      <w:bookmarkStart w:id="392" w:name="_Toc9727"/>
      <w:r>
        <w:rPr>
          <w:rFonts w:hint="eastAsia"/>
          <w:lang w:val="en-US" w:eastAsia="zh-CN"/>
        </w:rPr>
        <w:t>5.5.2苯罐泄漏影响预测及后果分析</w:t>
      </w:r>
      <w:bookmarkEnd w:id="391"/>
      <w:bookmarkEnd w:id="392"/>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1</w:t>
      </w:r>
      <w:r>
        <w:rPr>
          <w:rFonts w:hint="eastAsia" w:asciiTheme="minorEastAsia" w:hAnsiTheme="minorEastAsia"/>
          <w:sz w:val="24"/>
          <w:lang w:eastAsia="zh-CN"/>
        </w:rPr>
        <w:t>）</w:t>
      </w:r>
      <w:r>
        <w:rPr>
          <w:rFonts w:asciiTheme="minorEastAsia" w:hAnsiTheme="minorEastAsia"/>
          <w:sz w:val="24"/>
        </w:rPr>
        <w:t>利用烟团模式计算各种污染物在事故发生后不同时间、不利气象条件下地面浓度、最大落地浓度和出现距离，确定各种污染物域值出现的范围，并对最不利气象条件下污染物扩散进行重点分析；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2</w:t>
      </w:r>
      <w:r>
        <w:rPr>
          <w:rFonts w:hint="eastAsia" w:asciiTheme="minorEastAsia" w:hAnsiTheme="minorEastAsia"/>
          <w:sz w:val="24"/>
          <w:lang w:eastAsia="zh-CN"/>
        </w:rPr>
        <w:t>）</w:t>
      </w:r>
      <w:r>
        <w:rPr>
          <w:rFonts w:asciiTheme="minorEastAsia" w:hAnsiTheme="minorEastAsia"/>
          <w:sz w:val="24"/>
        </w:rPr>
        <w:t>预测各风险因子LC50、IDLH浓度出现的时间及距离，并画出最大包络范围图。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3</w:t>
      </w:r>
      <w:r>
        <w:rPr>
          <w:rFonts w:hint="eastAsia" w:asciiTheme="minorEastAsia" w:hAnsiTheme="minorEastAsia"/>
          <w:sz w:val="24"/>
          <w:lang w:eastAsia="zh-CN"/>
        </w:rPr>
        <w:t>）</w:t>
      </w:r>
      <w:r>
        <w:rPr>
          <w:rFonts w:asciiTheme="minorEastAsia" w:hAnsiTheme="minorEastAsia"/>
          <w:sz w:val="24"/>
        </w:rPr>
        <w:t>预测模式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根据物质泄漏及有毒蒸汽释放的事故特点，采用《环境风险评价导则》推荐的多烟团叠加模式。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多烟团模式：</w:t>
      </w:r>
    </w:p>
    <w:p>
      <w:pPr>
        <w:rPr>
          <w:rFonts w:asciiTheme="minorEastAsia" w:hAnsiTheme="minorEastAsia"/>
          <w:sz w:val="24"/>
        </w:rPr>
      </w:pPr>
      <w:r>
        <w:rPr>
          <w:rFonts w:asciiTheme="minorEastAsia" w:hAnsiTheme="minorEastAsia"/>
          <w:sz w:val="24"/>
        </w:rPr>
        <w:pict>
          <v:shape id="_x0000_s1029" o:spid="_x0000_s1029" o:spt="75" type="#_x0000_t75" style="position:absolute;left:0pt;margin-left:243pt;margin-top:0.05pt;height:42pt;width:147pt;z-index:251669504;mso-width-relative:page;mso-height-relative:page;" o:ole="t" filled="f" o:preferrelative="t" stroked="f" coordsize="21600,21600">
            <v:path/>
            <v:fill on="f" focussize="0,0"/>
            <v:stroke on="f" joinstyle="miter"/>
            <v:imagedata r:id="rId47" o:title=""/>
            <o:lock v:ext="edit" aspectratio="t"/>
          </v:shape>
          <o:OLEObject Type="Embed" ProgID="Equation.3" ShapeID="_x0000_s1029" DrawAspect="Content" ObjectID="_1468075738" r:id="rId76">
            <o:LockedField>false</o:LockedField>
          </o:OLEObject>
        </w:pict>
      </w:r>
      <w:r>
        <w:rPr>
          <w:rFonts w:asciiTheme="minorEastAsia" w:hAnsiTheme="minorEastAsia"/>
          <w:sz w:val="24"/>
        </w:rPr>
        <w:pict>
          <v:shape id="_x0000_s1030" o:spid="_x0000_s1030" o:spt="75" type="#_x0000_t75" style="position:absolute;left:0pt;margin-left:27pt;margin-top:0.05pt;height:39.75pt;width:218.25pt;z-index:251670528;mso-width-relative:page;mso-height-relative:page;" o:ole="t" filled="f" o:preferrelative="t" stroked="f" coordsize="21600,21600">
            <v:path/>
            <v:fill on="f" focussize="0,0"/>
            <v:stroke on="f" joinstyle="miter"/>
            <v:imagedata r:id="rId49" o:title=""/>
            <o:lock v:ext="edit" aspectratio="t"/>
          </v:shape>
          <o:OLEObject Type="Embed" ProgID="Equation.3" ShapeID="_x0000_s1030" DrawAspect="Content" ObjectID="_1468075739" r:id="rId77">
            <o:LockedField>false</o:LockedField>
          </o:OLEObject>
        </w:pict>
      </w:r>
    </w:p>
    <w:p>
      <w:pPr>
        <w:rPr>
          <w:rFonts w:asciiTheme="minorEastAsia" w:hAnsiTheme="minorEastAsia"/>
          <w:sz w:val="24"/>
        </w:rPr>
      </w:pPr>
    </w:p>
    <w:p>
      <w:pPr>
        <w:rPr>
          <w:rFonts w:asciiTheme="minorEastAsia" w:hAnsiTheme="minorEastAsia"/>
          <w:sz w:val="24"/>
        </w:rPr>
      </w:pPr>
    </w:p>
    <w:p>
      <w:pPr>
        <w:rPr>
          <w:rFonts w:asciiTheme="minorEastAsia" w:hAnsiTheme="minorEastAsia"/>
          <w:sz w:val="24"/>
        </w:rPr>
      </w:pPr>
      <w:r>
        <w:rPr>
          <w:rFonts w:asciiTheme="minorEastAsia" w:hAnsiTheme="minorEastAsia"/>
          <w:sz w:val="24"/>
        </w:rPr>
        <w:t>式中：</w:t>
      </w:r>
      <w:r>
        <w:rPr>
          <w:rFonts w:asciiTheme="minorEastAsia" w:hAnsiTheme="minorEastAsia"/>
          <w:sz w:val="24"/>
        </w:rPr>
        <w:object>
          <v:shape id="_x0000_i1035" o:spt="75" type="#_x0000_t75" style="height:17.5pt;width:42.5pt;" o:ole="t" filled="f" o:preferrelative="t" stroked="f" coordsize="21600,21600">
            <v:path/>
            <v:fill on="f" focussize="0,0"/>
            <v:stroke on="f" joinstyle="miter"/>
            <v:imagedata r:id="rId51" o:title=""/>
            <o:lock v:ext="edit" aspectratio="t"/>
            <w10:wrap type="none"/>
            <w10:anchorlock/>
          </v:shape>
          <o:OLEObject Type="Embed" ProgID="Equation.3" ShapeID="_x0000_i1035" DrawAspect="Content" ObjectID="_1468075740" r:id="rId78">
            <o:LockedField>false</o:LockedField>
          </o:OLEObject>
        </w:object>
      </w:r>
      <w:r>
        <w:rPr>
          <w:rFonts w:asciiTheme="minorEastAsia" w:hAnsiTheme="minorEastAsia"/>
          <w:sz w:val="24"/>
        </w:rPr>
        <w:t>－下风向地面</w:t>
      </w:r>
      <w:r>
        <w:rPr>
          <w:rFonts w:asciiTheme="minorEastAsia" w:hAnsiTheme="minorEastAsia"/>
          <w:sz w:val="24"/>
        </w:rPr>
        <w:object>
          <v:shape id="_x0000_i1036" o:spt="75" type="#_x0000_t75" style="height:17.5pt;width:28pt;" o:ole="t" filled="f" o:preferrelative="t" stroked="f" coordsize="21600,21600">
            <v:path/>
            <v:fill on="f" focussize="0,0"/>
            <v:stroke on="f" joinstyle="miter"/>
            <v:imagedata r:id="rId53" o:title=""/>
            <o:lock v:ext="edit" aspectratio="t"/>
            <w10:wrap type="none"/>
            <w10:anchorlock/>
          </v:shape>
          <o:OLEObject Type="Embed" ProgID="Equation.3" ShapeID="_x0000_i1036" DrawAspect="Content" ObjectID="_1468075741" r:id="rId79">
            <o:LockedField>false</o:LockedField>
          </o:OLEObject>
        </w:object>
      </w:r>
      <w:r>
        <w:rPr>
          <w:rFonts w:asciiTheme="minorEastAsia" w:hAnsiTheme="minorEastAsia"/>
          <w:sz w:val="24"/>
        </w:rPr>
        <w:t>坐标处的空气中污染物浓度；</w:t>
      </w:r>
    </w:p>
    <w:p>
      <w:pPr>
        <w:rPr>
          <w:rFonts w:asciiTheme="minorEastAsia" w:hAnsiTheme="minorEastAsia"/>
          <w:sz w:val="24"/>
        </w:rPr>
      </w:pPr>
      <w:r>
        <w:rPr>
          <w:rFonts w:asciiTheme="minorEastAsia" w:hAnsiTheme="minorEastAsia"/>
          <w:sz w:val="24"/>
        </w:rPr>
        <w:object>
          <v:shape id="_x0000_i1037" o:spt="75" type="#_x0000_t75" style="height:18pt;width:46pt;" o:ole="t" filled="f" o:preferrelative="t" stroked="f" coordsize="21600,21600">
            <v:path/>
            <v:fill on="f" focussize="0,0"/>
            <v:stroke on="f" joinstyle="miter"/>
            <v:imagedata r:id="rId55" o:title=""/>
            <o:lock v:ext="edit" aspectratio="t"/>
            <w10:wrap type="none"/>
            <w10:anchorlock/>
          </v:shape>
          <o:OLEObject Type="Embed" ProgID="Equation.3" ShapeID="_x0000_i1037" DrawAspect="Content" ObjectID="_1468075742" r:id="rId80">
            <o:LockedField>false</o:LockedField>
          </o:OLEObject>
        </w:object>
      </w:r>
      <w:r>
        <w:rPr>
          <w:rFonts w:asciiTheme="minorEastAsia" w:hAnsiTheme="minorEastAsia"/>
          <w:sz w:val="24"/>
        </w:rPr>
        <w:t>－烟团中心坐标；</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Q－事故期间烟团的排放量。</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对于瞬时或短时间事故，采用下述变天条件下多烟团模式：</w:t>
      </w:r>
    </w:p>
    <w:p>
      <w:pPr>
        <w:rPr>
          <w:rFonts w:asciiTheme="minorEastAsia" w:hAnsiTheme="minorEastAsia"/>
          <w:sz w:val="24"/>
        </w:rPr>
      </w:pPr>
      <w:r>
        <w:rPr>
          <w:rFonts w:asciiTheme="minorEastAsia" w:hAnsiTheme="minorEastAsia"/>
          <w:sz w:val="24"/>
        </w:rPr>
        <w:pict>
          <v:shape id="_x0000_s1031" o:spid="_x0000_s1031" o:spt="75" type="#_x0000_t75" style="position:absolute;left:0pt;margin-left:0pt;margin-top:0pt;height:34.1pt;width:405pt;mso-wrap-distance-bottom:0pt;mso-wrap-distance-top:0pt;z-index:251668480;mso-width-relative:page;mso-height-relative:page;" o:ole="t" filled="f" o:preferrelative="t" stroked="f" coordsize="21600,21600">
            <v:path/>
            <v:fill on="f" focussize="0,0"/>
            <v:stroke on="f" joinstyle="miter"/>
            <v:imagedata r:id="rId57" o:title=""/>
            <o:lock v:ext="edit" aspectratio="t"/>
            <w10:wrap type="topAndBottom"/>
          </v:shape>
          <o:OLEObject Type="Embed" ProgID="Equation.3" ShapeID="_x0000_s1031" DrawAspect="Content" ObjectID="_1468075743" r:id="rId81">
            <o:LockedField>false</o:LockedField>
          </o:OLEObject>
        </w:pict>
      </w:r>
      <w:r>
        <w:rPr>
          <w:rFonts w:asciiTheme="minorEastAsia" w:hAnsiTheme="minorEastAsia"/>
          <w:sz w:val="24"/>
        </w:rPr>
        <w:t>式中：</w:t>
      </w:r>
      <w:r>
        <w:rPr>
          <w:rFonts w:asciiTheme="minorEastAsia" w:hAnsiTheme="minorEastAsia"/>
          <w:sz w:val="24"/>
        </w:rPr>
        <w:drawing>
          <wp:inline distT="0" distB="0" distL="0" distR="0">
            <wp:extent cx="863600" cy="241300"/>
            <wp:effectExtent l="0" t="0" r="12700" b="571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58" cstate="print"/>
                    <a:srcRect/>
                    <a:stretch>
                      <a:fillRect/>
                    </a:stretch>
                  </pic:blipFill>
                  <pic:spPr>
                    <a:xfrm>
                      <a:off x="0" y="0"/>
                      <a:ext cx="8636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第i个烟团在tw时刻·（即第w时段）在点(x,y,0)产生的地面浓度；</w:t>
      </w:r>
    </w:p>
    <w:p>
      <w:pPr>
        <w:rPr>
          <w:rFonts w:asciiTheme="minorEastAsia" w:hAnsiTheme="minorEastAsia"/>
          <w:sz w:val="24"/>
        </w:rPr>
      </w:pPr>
      <w:r>
        <w:rPr>
          <w:rFonts w:asciiTheme="minorEastAsia" w:hAnsiTheme="minorEastAsia"/>
          <w:sz w:val="24"/>
        </w:rPr>
        <w:drawing>
          <wp:inline distT="0" distB="0" distL="0" distR="0">
            <wp:extent cx="342900" cy="241300"/>
            <wp:effectExtent l="0" t="0" r="0" b="444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59"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42900" cy="241300"/>
            <wp:effectExtent l="0" t="0" r="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60"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30200" cy="241300"/>
            <wp:effectExtent l="0" t="0" r="0" b="444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61" cstate="print"/>
                    <a:srcRect/>
                    <a:stretch>
                      <a:fillRect/>
                    </a:stretch>
                  </pic:blipFill>
                  <pic:spPr>
                    <a:xfrm>
                      <a:off x="0" y="0"/>
                      <a:ext cx="330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烟团在w时段沿x、y和z方向的等效扩散参数（m），可由下式估算：</w:t>
      </w:r>
    </w:p>
    <w:p>
      <w:pPr>
        <w:rPr>
          <w:rFonts w:asciiTheme="minorEastAsia" w:hAnsiTheme="minorEastAsia"/>
          <w:sz w:val="24"/>
        </w:rPr>
      </w:pPr>
      <w:r>
        <w:rPr>
          <w:rFonts w:asciiTheme="minorEastAsia" w:hAnsiTheme="minorEastAsia"/>
          <w:sz w:val="24"/>
        </w:rPr>
        <w:drawing>
          <wp:inline distT="0" distB="0" distL="0" distR="0">
            <wp:extent cx="2368550" cy="488950"/>
            <wp:effectExtent l="0" t="0" r="12700"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62" cstate="print"/>
                    <a:srcRect/>
                    <a:stretch>
                      <a:fillRect/>
                    </a:stretch>
                  </pic:blipFill>
                  <pic:spPr>
                    <a:xfrm>
                      <a:off x="0" y="0"/>
                      <a:ext cx="2368550" cy="48895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w:t>
      </w:r>
    </w:p>
    <w:p>
      <w:pPr>
        <w:rPr>
          <w:rFonts w:asciiTheme="minorEastAsia" w:hAnsiTheme="minorEastAsia"/>
          <w:sz w:val="24"/>
        </w:rPr>
      </w:pPr>
      <w:r>
        <w:rPr>
          <w:rFonts w:asciiTheme="minorEastAsia" w:hAnsiTheme="minorEastAsia"/>
          <w:sz w:val="24"/>
        </w:rPr>
        <w:drawing>
          <wp:inline distT="0" distB="0" distL="0" distR="0">
            <wp:extent cx="1746250" cy="3048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63" cstate="print"/>
                    <a:srcRect/>
                    <a:stretch>
                      <a:fillRect/>
                    </a:stretch>
                  </pic:blipFill>
                  <pic:spPr>
                    <a:xfrm>
                      <a:off x="0" y="0"/>
                      <a:ext cx="1746250" cy="3048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扩散因子，对tw时段的事故按下式计算：</w:t>
      </w:r>
    </w:p>
    <w:p>
      <w:pPr>
        <w:rPr>
          <w:rFonts w:asciiTheme="minorEastAsia" w:hAnsiTheme="minorEastAsia"/>
          <w:sz w:val="24"/>
        </w:rPr>
      </w:pPr>
      <w:r>
        <w:rPr>
          <w:rFonts w:asciiTheme="minorEastAsia" w:hAnsiTheme="minorEastAsia"/>
          <w:sz w:val="24"/>
        </w:rPr>
        <w:t>式中：</w:t>
      </w:r>
      <w:r>
        <w:rPr>
          <w:rFonts w:asciiTheme="minorEastAsia" w:hAnsiTheme="minorEastAsia"/>
          <w:sz w:val="24"/>
        </w:rPr>
        <w:drawing>
          <wp:inline distT="0" distB="0" distL="0" distR="0">
            <wp:extent cx="177800" cy="228600"/>
            <wp:effectExtent l="0" t="0" r="1270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64" cstate="print"/>
                    <a:srcRect/>
                    <a:stretch>
                      <a:fillRect/>
                    </a:stretch>
                  </pic:blipFill>
                  <pic:spPr>
                    <a:xfrm>
                      <a:off x="0" y="0"/>
                      <a:ext cx="177800" cy="2286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烟团排放量，</w:t>
      </w:r>
      <w:r>
        <w:rPr>
          <w:rFonts w:asciiTheme="minorEastAsia" w:hAnsiTheme="minorEastAsia"/>
          <w:sz w:val="24"/>
        </w:rPr>
        <w:drawing>
          <wp:inline distT="0" distB="0" distL="0" distR="0">
            <wp:extent cx="609600" cy="2286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65" cstate="print"/>
                    <a:srcRect/>
                    <a:stretch>
                      <a:fillRect/>
                    </a:stretch>
                  </pic:blipFill>
                  <pic:spPr>
                    <a:xfrm>
                      <a:off x="0" y="0"/>
                      <a:ext cx="609600" cy="2286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152400" cy="203200"/>
            <wp:effectExtent l="0" t="0" r="0" b="444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66" cstate="print"/>
                    <a:srcRect/>
                    <a:stretch>
                      <a:fillRect/>
                    </a:stretch>
                  </pic:blipFill>
                  <pic:spPr>
                    <a:xfrm>
                      <a:off x="0" y="0"/>
                      <a:ext cx="152400" cy="203200"/>
                    </a:xfrm>
                    <a:prstGeom prst="rect">
                      <a:avLst/>
                    </a:prstGeom>
                    <a:noFill/>
                    <a:ln w="9525">
                      <a:noFill/>
                      <a:miter lim="800000"/>
                      <a:headEnd/>
                      <a:tailEnd/>
                    </a:ln>
                  </pic:spPr>
                </pic:pic>
              </a:graphicData>
            </a:graphic>
          </wp:inline>
        </w:drawing>
      </w:r>
      <w:r>
        <w:rPr>
          <w:rFonts w:asciiTheme="minorEastAsia" w:hAnsiTheme="minorEastAsia"/>
          <w:sz w:val="24"/>
        </w:rPr>
        <w:t>为释放率，</w:t>
      </w:r>
      <w:r>
        <w:rPr>
          <w:rFonts w:asciiTheme="minorEastAsia" w:hAnsiTheme="minorEastAsia"/>
          <w:sz w:val="24"/>
        </w:rPr>
        <w:drawing>
          <wp:inline distT="0" distB="0" distL="0" distR="0">
            <wp:extent cx="190500" cy="177800"/>
            <wp:effectExtent l="0" t="0" r="0" b="133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67" cstate="print"/>
                    <a:srcRect/>
                    <a:stretch>
                      <a:fillRect/>
                    </a:stretch>
                  </pic:blipFill>
                  <pic:spPr>
                    <a:xfrm>
                      <a:off x="0" y="0"/>
                      <a:ext cx="190500" cy="177800"/>
                    </a:xfrm>
                    <a:prstGeom prst="rect">
                      <a:avLst/>
                    </a:prstGeom>
                    <a:noFill/>
                    <a:ln w="9525">
                      <a:noFill/>
                      <a:miter lim="800000"/>
                      <a:headEnd/>
                      <a:tailEnd/>
                    </a:ln>
                  </pic:spPr>
                </pic:pic>
              </a:graphicData>
            </a:graphic>
          </wp:inline>
        </w:drawing>
      </w:r>
      <w:r>
        <w:rPr>
          <w:rFonts w:asciiTheme="minorEastAsia" w:hAnsiTheme="minorEastAsia"/>
          <w:sz w:val="24"/>
        </w:rPr>
        <w:t>为时段长度；</w:t>
      </w:r>
    </w:p>
    <w:p>
      <w:pPr>
        <w:rPr>
          <w:rFonts w:asciiTheme="minorEastAsia" w:hAnsiTheme="minorEastAsia"/>
          <w:sz w:val="24"/>
        </w:rPr>
      </w:pPr>
      <w:r>
        <w:rPr>
          <w:rFonts w:asciiTheme="minorEastAsia" w:hAnsiTheme="minorEastAsia"/>
          <w:sz w:val="24"/>
        </w:rPr>
        <w:drawing>
          <wp:inline distT="0" distB="0" distL="0" distR="0">
            <wp:extent cx="190500" cy="241300"/>
            <wp:effectExtent l="0" t="0" r="0" b="508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68" cstate="print"/>
                    <a:srcRect/>
                    <a:stretch>
                      <a:fillRect/>
                    </a:stretch>
                  </pic:blipFill>
                  <pic:spPr>
                    <a:xfrm>
                      <a:off x="0" y="0"/>
                      <a:ext cx="190500" cy="241300"/>
                    </a:xfrm>
                    <a:prstGeom prst="rect">
                      <a:avLst/>
                    </a:prstGeom>
                    <a:noFill/>
                    <a:ln w="9525">
                      <a:noFill/>
                      <a:miter lim="800000"/>
                      <a:headEnd/>
                      <a:tailEnd/>
                    </a:ln>
                  </pic:spPr>
                </pic:pic>
              </a:graphicData>
            </a:graphic>
          </wp:inline>
        </w:drawing>
      </w:r>
      <w:r>
        <w:rPr>
          <w:rFonts w:asciiTheme="minorEastAsia" w:hAnsiTheme="minorEastAsia"/>
          <w:sz w:val="24"/>
        </w:rPr>
        <w:t>和</w:t>
      </w:r>
      <w:r>
        <w:rPr>
          <w:rFonts w:asciiTheme="minorEastAsia" w:hAnsiTheme="minorEastAsia"/>
          <w:sz w:val="24"/>
        </w:rPr>
        <w:drawing>
          <wp:inline distT="0" distB="0" distL="0" distR="0">
            <wp:extent cx="203200" cy="241300"/>
            <wp:effectExtent l="0" t="0" r="6350" b="508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69" cstate="print"/>
                    <a:srcRect/>
                    <a:stretch>
                      <a:fillRect/>
                    </a:stretch>
                  </pic:blipFill>
                  <pic:spPr>
                    <a:xfrm>
                      <a:off x="0" y="0"/>
                      <a:ext cx="203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第w时段结束时第i烟团质心的x和y坐标，由下述两式计算：</w:t>
      </w:r>
    </w:p>
    <w:p>
      <w:pPr>
        <w:rPr>
          <w:rFonts w:asciiTheme="minorEastAsia" w:hAnsiTheme="minorEastAsia"/>
          <w:sz w:val="24"/>
        </w:rPr>
      </w:pPr>
      <w:r>
        <w:rPr>
          <w:rFonts w:asciiTheme="minorEastAsia" w:hAnsiTheme="minorEastAsia"/>
          <w:sz w:val="24"/>
        </w:rPr>
        <w:drawing>
          <wp:inline distT="0" distB="0" distL="0" distR="0">
            <wp:extent cx="2482850" cy="47625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70" cstate="print"/>
                    <a:srcRect/>
                    <a:stretch>
                      <a:fillRect/>
                    </a:stretch>
                  </pic:blipFill>
                  <pic:spPr>
                    <a:xfrm>
                      <a:off x="0" y="0"/>
                      <a:ext cx="2482850" cy="47625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drawing>
          <wp:inline distT="0" distB="0" distL="0" distR="0">
            <wp:extent cx="2482850" cy="469900"/>
            <wp:effectExtent l="0" t="0" r="1270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71" cstate="print"/>
                    <a:srcRect/>
                    <a:stretch>
                      <a:fillRect/>
                    </a:stretch>
                  </pic:blipFill>
                  <pic:spPr>
                    <a:xfrm>
                      <a:off x="0" y="0"/>
                      <a:ext cx="2482850" cy="46990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t>各个烟团对某个关心点t小时的浓度贡献，按下式计算：</w:t>
      </w:r>
    </w:p>
    <w:p>
      <w:pPr>
        <w:rPr>
          <w:rFonts w:asciiTheme="minorEastAsia" w:hAnsiTheme="minorEastAsia"/>
          <w:sz w:val="24"/>
        </w:rPr>
      </w:pPr>
      <w:r>
        <w:rPr>
          <w:rFonts w:asciiTheme="minorEastAsia" w:hAnsiTheme="minorEastAsia"/>
          <w:sz w:val="24"/>
        </w:rPr>
        <w:drawing>
          <wp:inline distT="0" distB="0" distL="0" distR="0">
            <wp:extent cx="2025650" cy="4953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72" cstate="print"/>
                    <a:srcRect/>
                    <a:stretch>
                      <a:fillRect/>
                    </a:stretch>
                  </pic:blipFill>
                  <pic:spPr>
                    <a:xfrm>
                      <a:off x="0" y="0"/>
                      <a:ext cx="2025650" cy="4953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式中：n－需要跟踪的烟团数，可由下式确定：</w:t>
      </w:r>
    </w:p>
    <w:p>
      <w:pPr>
        <w:rPr>
          <w:rFonts w:asciiTheme="minorEastAsia" w:hAnsiTheme="minorEastAsia"/>
          <w:sz w:val="24"/>
        </w:rPr>
      </w:pPr>
      <w:r>
        <w:rPr>
          <w:rFonts w:asciiTheme="minorEastAsia" w:hAnsiTheme="minorEastAsia"/>
          <w:sz w:val="24"/>
        </w:rPr>
        <w:drawing>
          <wp:inline distT="0" distB="0" distL="0" distR="0">
            <wp:extent cx="2254250" cy="488950"/>
            <wp:effectExtent l="0" t="0" r="12700"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73" cstate="print"/>
                    <a:srcRect/>
                    <a:stretch>
                      <a:fillRect/>
                    </a:stretch>
                  </pic:blipFill>
                  <pic:spPr>
                    <a:xfrm>
                      <a:off x="0" y="0"/>
                      <a:ext cx="2254250" cy="488950"/>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f为小于1的系数，可根据计算要求确定。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4</w:t>
      </w:r>
      <w:r>
        <w:rPr>
          <w:rFonts w:hint="eastAsia" w:asciiTheme="minorEastAsia" w:hAnsiTheme="minorEastAsia"/>
          <w:sz w:val="24"/>
          <w:lang w:eastAsia="zh-CN"/>
        </w:rPr>
        <w:t>）</w:t>
      </w:r>
      <w:r>
        <w:rPr>
          <w:rFonts w:asciiTheme="minorEastAsia" w:hAnsiTheme="minorEastAsia"/>
          <w:sz w:val="24"/>
        </w:rPr>
        <w:t>气象条件选择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分别对B、D、F三个稳定度静风（0.5 m/s）、小风（1.5 m/s）、多年平均风速（2.02m/s）、风速（3.09m/s）四个代表性风速条件下，以事故发生时污染物轴线最大落地浓度作为评价标准，比较分析事故的影响范围，选取对环境影响最大的气象条件作为风险预测的气象条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heme="minorEastAsia" w:hAnsiTheme="minorEastAsia"/>
          <w:sz w:val="24"/>
          <w:lang w:val="en-US" w:eastAsia="zh-CN"/>
        </w:rPr>
      </w:pPr>
      <w:r>
        <w:rPr>
          <w:rFonts w:hint="eastAsia" w:asciiTheme="minorEastAsia" w:hAnsiTheme="minorEastAsia"/>
          <w:sz w:val="24"/>
          <w:lang w:eastAsia="zh-CN"/>
        </w:rPr>
        <w:t>（</w:t>
      </w:r>
      <w:r>
        <w:rPr>
          <w:rFonts w:hint="eastAsia" w:asciiTheme="minorEastAsia" w:hAnsiTheme="minorEastAsia"/>
          <w:sz w:val="24"/>
          <w:lang w:val="en-US" w:eastAsia="zh-CN"/>
        </w:rPr>
        <w:t>5</w:t>
      </w:r>
      <w:r>
        <w:rPr>
          <w:rFonts w:hint="eastAsia" w:asciiTheme="minorEastAsia" w:hAnsiTheme="minorEastAsia"/>
          <w:sz w:val="24"/>
          <w:lang w:eastAsia="zh-CN"/>
        </w:rPr>
        <w:t>）</w:t>
      </w:r>
      <w:r>
        <w:rPr>
          <w:rFonts w:hint="eastAsia" w:asciiTheme="minorEastAsia" w:hAnsiTheme="minorEastAsia"/>
          <w:sz w:val="24"/>
          <w:lang w:val="en-US" w:eastAsia="zh-CN"/>
        </w:rPr>
        <w:t>危害后果分析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default" w:ascii="Times New Roman" w:hAnsi="Times New Roman" w:cs="Times New Roman"/>
          <w:sz w:val="24"/>
        </w:rPr>
      </w:pPr>
      <w:r>
        <w:rPr>
          <w:rFonts w:hint="default" w:ascii="Times New Roman" w:hAnsi="Times New Roman" w:cs="Times New Roman"/>
          <w:sz w:val="24"/>
        </w:rPr>
        <w:t>假定事故在10min内得到控制，事故发生后10min，20min和30min不同气象条件下苯对下风向的影响见表</w:t>
      </w:r>
      <w:r>
        <w:rPr>
          <w:rFonts w:hint="eastAsia" w:ascii="Times New Roman" w:hAnsi="Times New Roman" w:cs="Times New Roman"/>
          <w:sz w:val="24"/>
          <w:lang w:val="en-US" w:eastAsia="zh-CN"/>
        </w:rPr>
        <w:t>5.5-3</w:t>
      </w:r>
      <w:r>
        <w:rPr>
          <w:rFonts w:hint="default" w:ascii="Times New Roman" w:hAnsi="Times New Roman" w:cs="Times New Roman"/>
          <w:sz w:val="24"/>
        </w:rPr>
        <w:t>。由表</w:t>
      </w:r>
      <w:r>
        <w:rPr>
          <w:rFonts w:hint="eastAsia" w:ascii="Times New Roman" w:hAnsi="Times New Roman" w:cs="Times New Roman"/>
          <w:sz w:val="24"/>
          <w:lang w:val="en-US" w:eastAsia="zh-CN"/>
        </w:rPr>
        <w:t>5.5-3</w:t>
      </w:r>
      <w:r>
        <w:rPr>
          <w:rFonts w:hint="default" w:ascii="Times New Roman" w:hAnsi="Times New Roman" w:cs="Times New Roman"/>
          <w:sz w:val="24"/>
        </w:rPr>
        <w:t>可知，在1.5m/s、F稳定度气象条件下苯储罐泄漏苯的半致死浓度最大，由表可以看出，在该气象条件下，超过半致死浓度的最远距离为67.7m，面积达到2.16×10</w:t>
      </w:r>
      <w:r>
        <w:rPr>
          <w:rFonts w:hint="default" w:ascii="Times New Roman" w:hAnsi="Times New Roman" w:cs="Times New Roman"/>
          <w:sz w:val="24"/>
          <w:vertAlign w:val="superscript"/>
        </w:rPr>
        <w:t>2</w:t>
      </w:r>
      <w:r>
        <w:rPr>
          <w:rFonts w:hint="default" w:ascii="Times New Roman" w:hAnsi="Times New Roman" w:cs="Times New Roman"/>
          <w:sz w:val="24"/>
        </w:rPr>
        <w:t>m</w:t>
      </w:r>
      <w:r>
        <w:rPr>
          <w:rFonts w:hint="default" w:ascii="Times New Roman" w:hAnsi="Times New Roman" w:cs="Times New Roman"/>
          <w:sz w:val="24"/>
          <w:vertAlign w:val="superscript"/>
        </w:rPr>
        <w:t>2</w:t>
      </w:r>
      <w:r>
        <w:rPr>
          <w:rFonts w:hint="default" w:ascii="Times New Roman" w:hAnsi="Times New Roman" w:cs="Times New Roman"/>
          <w:sz w:val="24"/>
        </w:rPr>
        <w:t>；超过立即威胁生命和监控浓度的最远距离为210.8m，面积达到7.79×10</w:t>
      </w:r>
      <w:r>
        <w:rPr>
          <w:rFonts w:hint="default" w:ascii="Times New Roman" w:hAnsi="Times New Roman" w:cs="Times New Roman"/>
          <w:sz w:val="24"/>
          <w:vertAlign w:val="superscript"/>
        </w:rPr>
        <w:t>3</w:t>
      </w:r>
      <w:r>
        <w:rPr>
          <w:rFonts w:hint="default" w:ascii="Times New Roman" w:hAnsi="Times New Roman" w:cs="Times New Roman"/>
          <w:sz w:val="24"/>
        </w:rPr>
        <w:t>m</w:t>
      </w:r>
      <w:r>
        <w:rPr>
          <w:rFonts w:hint="default" w:ascii="Times New Roman" w:hAnsi="Times New Roman" w:cs="Times New Roman"/>
          <w:sz w:val="24"/>
          <w:vertAlign w:val="superscript"/>
        </w:rPr>
        <w:t>2</w:t>
      </w:r>
      <w:r>
        <w:rPr>
          <w:rFonts w:hint="default" w:ascii="Times New Roman" w:hAnsi="Times New Roman" w:cs="Times New Roman"/>
          <w:sz w:val="24"/>
        </w:rPr>
        <w:t>，超过居住区容许浓度范围的距离为691.4m，面积达到4.15×10</w:t>
      </w:r>
      <w:r>
        <w:rPr>
          <w:rFonts w:hint="default" w:ascii="Times New Roman" w:hAnsi="Times New Roman" w:cs="Times New Roman"/>
          <w:sz w:val="24"/>
          <w:vertAlign w:val="superscript"/>
        </w:rPr>
        <w:t>4</w:t>
      </w:r>
      <w:r>
        <w:rPr>
          <w:rFonts w:hint="default" w:ascii="Times New Roman" w:hAnsi="Times New Roman" w:cs="Times New Roman"/>
          <w:sz w:val="24"/>
        </w:rPr>
        <w:t>m</w:t>
      </w:r>
      <w:r>
        <w:rPr>
          <w:rFonts w:hint="default" w:ascii="Times New Roman" w:hAnsi="Times New Roman" w:cs="Times New Roman"/>
          <w:sz w:val="24"/>
          <w:vertAlign w:val="superscript"/>
        </w:rPr>
        <w:t>2</w:t>
      </w:r>
      <w:r>
        <w:rPr>
          <w:rFonts w:hint="default" w:ascii="Times New Roman" w:hAnsi="Times New Roman" w:cs="Times New Roman"/>
          <w:sz w:val="24"/>
        </w:rPr>
        <w:t>，事故泄露影响包络线范围见图</w:t>
      </w:r>
      <w:r>
        <w:rPr>
          <w:rFonts w:hint="eastAsia" w:ascii="Times New Roman" w:hAnsi="Times New Roman" w:cs="Times New Roman"/>
          <w:sz w:val="24"/>
          <w:lang w:val="en-US" w:eastAsia="zh-CN"/>
        </w:rPr>
        <w:t>5.5-3</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asciiTheme="minorEastAsia" w:hAnsiTheme="minorEastAsia"/>
          <w:b/>
          <w:sz w:val="24"/>
          <w:szCs w:val="24"/>
        </w:rPr>
      </w:pPr>
      <w:r>
        <w:rPr>
          <w:rFonts w:hint="eastAsia" w:ascii="Times New Roman" w:hAnsi="Times New Roman" w:cs="Times New Roman"/>
          <w:b/>
          <w:sz w:val="24"/>
          <w:szCs w:val="24"/>
          <w:lang w:val="en-US" w:eastAsia="zh-CN"/>
        </w:rPr>
        <w:t>5</w:t>
      </w:r>
      <w:r>
        <w:rPr>
          <w:rFonts w:hint="default" w:ascii="Times New Roman" w:hAnsi="Times New Roman" w:cs="Times New Roman"/>
          <w:b/>
          <w:sz w:val="24"/>
          <w:szCs w:val="24"/>
          <w:lang w:val="en-US" w:eastAsia="zh-CN"/>
        </w:rPr>
        <w:t>.</w:t>
      </w:r>
      <w:r>
        <w:rPr>
          <w:rFonts w:hint="eastAsia" w:ascii="Times New Roman" w:hAnsi="Times New Roman" w:cs="Times New Roman"/>
          <w:b/>
          <w:sz w:val="24"/>
          <w:szCs w:val="24"/>
          <w:lang w:val="en-US" w:eastAsia="zh-CN"/>
        </w:rPr>
        <w:t>5</w:t>
      </w:r>
      <w:r>
        <w:rPr>
          <w:rFonts w:hint="default" w:ascii="Times New Roman" w:hAnsi="Times New Roman" w:cs="Times New Roman"/>
          <w:b/>
          <w:sz w:val="24"/>
          <w:szCs w:val="24"/>
          <w:lang w:val="en-US" w:eastAsia="zh-CN"/>
        </w:rPr>
        <w:t xml:space="preserve">-3   </w:t>
      </w:r>
      <w:r>
        <w:rPr>
          <w:rFonts w:hint="default" w:ascii="Times New Roman" w:hAnsi="Times New Roman" w:cs="Times New Roman"/>
          <w:b/>
          <w:sz w:val="24"/>
          <w:szCs w:val="24"/>
        </w:rPr>
        <w:t>苯</w:t>
      </w:r>
      <w:r>
        <w:rPr>
          <w:rFonts w:asciiTheme="minorEastAsia" w:hAnsiTheme="minorEastAsia"/>
          <w:b/>
          <w:sz w:val="24"/>
          <w:szCs w:val="24"/>
        </w:rPr>
        <w:t>罐泄漏氨气最大落地浓度以及事故后果分析</w:t>
      </w:r>
    </w:p>
    <w:tbl>
      <w:tblPr>
        <w:tblStyle w:val="21"/>
        <w:tblW w:w="5000"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702"/>
        <w:gridCol w:w="702"/>
        <w:gridCol w:w="983"/>
        <w:gridCol w:w="1299"/>
        <w:gridCol w:w="1237"/>
        <w:gridCol w:w="1125"/>
        <w:gridCol w:w="1350"/>
        <w:gridCol w:w="1124"/>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稳定度</w:t>
            </w:r>
          </w:p>
        </w:tc>
        <w:tc>
          <w:tcPr>
            <w:tcW w:w="41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风速</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预测时刻（min）</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最大落地浓度mg/m</w:t>
            </w:r>
            <w:r>
              <w:rPr>
                <w:rFonts w:asciiTheme="minorEastAsia" w:hAnsiTheme="minorEastAsia"/>
                <w:sz w:val="18"/>
                <w:szCs w:val="18"/>
                <w:vertAlign w:val="superscript"/>
              </w:rPr>
              <w:t>3</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出现距离（m）</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半致死浓度范围（m）</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立即威胁生命和健康浓度（m）</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居住区最高允许浓度（m）</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3"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静风</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8,194.84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4.1</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438.6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5"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0.7367</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295.4</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0.1381</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553.1</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静风</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74,348.72</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3.6</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9.4</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19.7</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520.4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13.7635</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251.3</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797.4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2.5966</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470.8</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静风</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36,607.94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6.8</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11.4</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30.5</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548.3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44.8061</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231.9</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904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8.4639</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434.4</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1,129.20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52,077.32</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10.8</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14.3</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46.1</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1,039.20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56.9939</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816.9</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1,759.70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14.6335</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1,573.40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2,390.10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112,902.01</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9.7</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27.9</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83.1</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865.8</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266.7972</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705.4</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1,566.70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79.8564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1,386.00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2,221.90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1.5</w:t>
            </w:r>
          </w:p>
        </w:tc>
        <w:tc>
          <w:tcPr>
            <w:tcW w:w="577" w:type="pc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258,514.45</w:t>
            </w:r>
          </w:p>
        </w:tc>
        <w:tc>
          <w:tcPr>
            <w:tcW w:w="726"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9.2</w:t>
            </w:r>
          </w:p>
        </w:tc>
        <w:tc>
          <w:tcPr>
            <w:tcW w:w="660"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67.7</w:t>
            </w:r>
          </w:p>
        </w:tc>
        <w:tc>
          <w:tcPr>
            <w:tcW w:w="79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210.8</w:t>
            </w:r>
          </w:p>
        </w:tc>
        <w:tc>
          <w:tcPr>
            <w:tcW w:w="659"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691.4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412"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577" w:type="pc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2,000.73</w:t>
            </w:r>
          </w:p>
        </w:tc>
        <w:tc>
          <w:tcPr>
            <w:tcW w:w="726"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625.8</w:t>
            </w:r>
          </w:p>
        </w:tc>
        <w:tc>
          <w:tcPr>
            <w:tcW w:w="660" w:type="pct"/>
            <w:tcBorders>
              <w:tl2br w:val="nil"/>
              <w:tr2bl w:val="nil"/>
            </w:tcBorders>
            <w:shd w:val="clear" w:color="FFFF00" w:fill="auto"/>
            <w:vAlign w:val="center"/>
          </w:tcPr>
          <w:p>
            <w:pPr>
              <w:jc w:val="center"/>
              <w:rPr>
                <w:rFonts w:asciiTheme="minorEastAsia" w:hAnsiTheme="minorEastAsia"/>
                <w:sz w:val="18"/>
                <w:szCs w:val="18"/>
              </w:rPr>
            </w:pPr>
          </w:p>
        </w:tc>
        <w:tc>
          <w:tcPr>
            <w:tcW w:w="792" w:type="pct"/>
            <w:tcBorders>
              <w:tl2br w:val="nil"/>
              <w:tr2bl w:val="nil"/>
            </w:tcBorders>
            <w:shd w:val="clear" w:color="FFFF00" w:fill="auto"/>
            <w:vAlign w:val="center"/>
          </w:tcPr>
          <w:p>
            <w:pPr>
              <w:jc w:val="center"/>
              <w:rPr>
                <w:rFonts w:asciiTheme="minorEastAsia" w:hAnsiTheme="minorEastAsia"/>
                <w:sz w:val="18"/>
                <w:szCs w:val="18"/>
              </w:rPr>
            </w:pPr>
          </w:p>
        </w:tc>
        <w:tc>
          <w:tcPr>
            <w:tcW w:w="659"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1,329.60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412"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577" w:type="pc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722.5755</w:t>
            </w:r>
          </w:p>
        </w:tc>
        <w:tc>
          <w:tcPr>
            <w:tcW w:w="726"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1,246.00</w:t>
            </w:r>
          </w:p>
        </w:tc>
        <w:tc>
          <w:tcPr>
            <w:tcW w:w="660" w:type="pct"/>
            <w:tcBorders>
              <w:tl2br w:val="nil"/>
              <w:tr2bl w:val="nil"/>
            </w:tcBorders>
            <w:shd w:val="clear" w:color="FFFF00" w:fill="auto"/>
            <w:vAlign w:val="center"/>
          </w:tcPr>
          <w:p>
            <w:pPr>
              <w:jc w:val="center"/>
              <w:rPr>
                <w:rFonts w:asciiTheme="minorEastAsia" w:hAnsiTheme="minorEastAsia"/>
                <w:sz w:val="18"/>
                <w:szCs w:val="18"/>
              </w:rPr>
            </w:pPr>
          </w:p>
        </w:tc>
        <w:tc>
          <w:tcPr>
            <w:tcW w:w="792" w:type="pct"/>
            <w:tcBorders>
              <w:tl2br w:val="nil"/>
              <w:tr2bl w:val="nil"/>
            </w:tcBorders>
            <w:shd w:val="clear" w:color="FFFF00" w:fill="auto"/>
            <w:vAlign w:val="center"/>
          </w:tcPr>
          <w:p>
            <w:pPr>
              <w:jc w:val="center"/>
              <w:rPr>
                <w:rFonts w:asciiTheme="minorEastAsia" w:hAnsiTheme="minorEastAsia"/>
                <w:sz w:val="18"/>
                <w:szCs w:val="18"/>
              </w:rPr>
            </w:pPr>
          </w:p>
        </w:tc>
        <w:tc>
          <w:tcPr>
            <w:tcW w:w="659"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1,952.90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37,685.64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14.4</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16.5</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39.4</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1,276.70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26.3578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1,106.60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2,161.60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6.8578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2,128.80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2,904.40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87,441.41</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26.7</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70.1</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1,103.50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126.7355</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948</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1,998.00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38.2003</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1,866.60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2,833.00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214,119.06</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12.4</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52.5</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173.6</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911.7</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996.4114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840.4</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1,754.90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378.4493</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1,673.20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2,578.60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28,051.80</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21.7</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35</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1,766.40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11.7129</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1,694.30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2,963.00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3.0558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3,275.90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3,792.70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75,147.54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19.8</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69.5</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1,590.10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60.4774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1,449.50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2,883.90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18.1401</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2,854.40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4,081.90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216,658.86</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18.9</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61</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172.6</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1,364.70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538.4669</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1,288.10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2,630.20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208.8515</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2,549.80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3,866.80</w:t>
            </w:r>
          </w:p>
        </w:tc>
      </w:tr>
    </w:tbl>
    <w:p>
      <w:pPr>
        <w:rPr>
          <w:rFonts w:asciiTheme="minorEastAsia" w:hAnsiTheme="minorEastAsia"/>
          <w:sz w:val="24"/>
        </w:rPr>
      </w:pPr>
      <w:r>
        <w:rPr>
          <w:rFonts w:asciiTheme="minorEastAsia" w:hAnsiTheme="minorEastAsia"/>
          <w:sz w:val="24"/>
        </w:rPr>
        <w:drawing>
          <wp:inline distT="0" distB="0" distL="0" distR="0">
            <wp:extent cx="5276850" cy="3530600"/>
            <wp:effectExtent l="9525" t="9525" r="9525" b="22225"/>
            <wp:docPr id="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2"/>
                    <pic:cNvPicPr>
                      <a:picLocks noChangeAspect="1" noChangeArrowheads="1"/>
                    </pic:cNvPicPr>
                  </pic:nvPicPr>
                  <pic:blipFill>
                    <a:blip r:embed="rId82" cstate="print"/>
                    <a:srcRect/>
                    <a:stretch>
                      <a:fillRect/>
                    </a:stretch>
                  </pic:blipFill>
                  <pic:spPr>
                    <a:xfrm>
                      <a:off x="0" y="0"/>
                      <a:ext cx="5276850" cy="3530600"/>
                    </a:xfrm>
                    <a:prstGeom prst="rect">
                      <a:avLst/>
                    </a:prstGeom>
                    <a:noFill/>
                    <a:ln w="9525" cmpd="sng">
                      <a:solidFill>
                        <a:srgbClr val="000000"/>
                      </a:solidFill>
                      <a:miter lim="800000"/>
                      <a:headEnd/>
                      <a:tailEnd/>
                    </a:ln>
                    <a:effectLst/>
                  </pic:spPr>
                </pic:pic>
              </a:graphicData>
            </a:graphic>
          </wp:inline>
        </w:drawing>
      </w:r>
    </w:p>
    <w:p>
      <w:pPr>
        <w:jc w:val="center"/>
        <w:rPr>
          <w:rFonts w:asciiTheme="minorEastAsia" w:hAnsiTheme="minorEastAsia"/>
          <w:b/>
          <w:sz w:val="24"/>
        </w:rPr>
      </w:pPr>
      <w:r>
        <w:rPr>
          <w:rFonts w:asciiTheme="minorEastAsia" w:hAnsiTheme="minorEastAsia"/>
          <w:b/>
        </w:rPr>
        <w:t>图</w:t>
      </w:r>
      <w:r>
        <w:rPr>
          <w:rFonts w:hint="eastAsia" w:asciiTheme="minorEastAsia" w:hAnsiTheme="minorEastAsia"/>
          <w:b/>
          <w:lang w:val="en-US" w:eastAsia="zh-CN"/>
        </w:rPr>
        <w:t xml:space="preserve">5.5-3   </w:t>
      </w:r>
      <w:r>
        <w:rPr>
          <w:rFonts w:hint="eastAsia" w:asciiTheme="minorEastAsia" w:hAnsiTheme="minorEastAsia"/>
          <w:b/>
        </w:rPr>
        <w:t>苯储罐泄漏后</w:t>
      </w:r>
      <w:r>
        <w:rPr>
          <w:rFonts w:asciiTheme="minorEastAsia" w:hAnsiTheme="minorEastAsia"/>
          <w:b/>
        </w:rPr>
        <w:t>扩散影响预测</w:t>
      </w:r>
      <w:r>
        <w:rPr>
          <w:rFonts w:hint="eastAsia" w:asciiTheme="minorEastAsia" w:hAnsiTheme="minorEastAsia"/>
          <w:b/>
        </w:rPr>
        <w:t>（风速</w:t>
      </w:r>
      <w:r>
        <w:rPr>
          <w:rFonts w:asciiTheme="minorEastAsia" w:hAnsiTheme="minorEastAsia"/>
          <w:b/>
        </w:rPr>
        <w:t>3.09</w:t>
      </w:r>
      <w:r>
        <w:rPr>
          <w:rFonts w:hint="eastAsia" w:asciiTheme="minorEastAsia" w:hAnsiTheme="minorEastAsia"/>
          <w:b/>
        </w:rPr>
        <w:t>m/s，</w:t>
      </w:r>
      <w:r>
        <w:rPr>
          <w:rFonts w:asciiTheme="minorEastAsia" w:hAnsiTheme="minorEastAsia"/>
          <w:b/>
        </w:rPr>
        <w:t>F</w:t>
      </w:r>
      <w:r>
        <w:rPr>
          <w:rFonts w:hint="eastAsia" w:asciiTheme="minorEastAsia" w:hAnsiTheme="minorEastAsia"/>
          <w:b/>
        </w:rPr>
        <w:t>稳定度，</w:t>
      </w:r>
      <w:r>
        <w:rPr>
          <w:rFonts w:asciiTheme="minorEastAsia" w:hAnsiTheme="minorEastAsia"/>
          <w:b/>
        </w:rPr>
        <w:t>2</w:t>
      </w:r>
      <w:r>
        <w:rPr>
          <w:rFonts w:hint="eastAsia" w:asciiTheme="minorEastAsia" w:hAnsiTheme="minorEastAsia"/>
          <w:b/>
        </w:rPr>
        <w:t>0min）</w:t>
      </w:r>
    </w:p>
    <w:p>
      <w:pPr>
        <w:pStyle w:val="5"/>
        <w:bidi w:val="0"/>
        <w:rPr>
          <w:rFonts w:hint="eastAsia"/>
          <w:lang w:val="en-US" w:eastAsia="zh-CN"/>
        </w:rPr>
      </w:pPr>
      <w:bookmarkStart w:id="393" w:name="_Toc1823"/>
      <w:bookmarkStart w:id="394" w:name="_Toc31961"/>
      <w:r>
        <w:rPr>
          <w:rFonts w:hint="eastAsia"/>
          <w:lang w:val="en-US" w:eastAsia="zh-CN"/>
        </w:rPr>
        <w:t>5.5.3液氨泄漏影响预测及后果分析</w:t>
      </w:r>
      <w:bookmarkEnd w:id="393"/>
      <w:bookmarkEnd w:id="394"/>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1</w:t>
      </w:r>
      <w:r>
        <w:rPr>
          <w:rFonts w:hint="eastAsia" w:asciiTheme="minorEastAsia" w:hAnsiTheme="minorEastAsia"/>
          <w:sz w:val="24"/>
          <w:lang w:eastAsia="zh-CN"/>
        </w:rPr>
        <w:t>）</w:t>
      </w:r>
      <w:r>
        <w:rPr>
          <w:rFonts w:asciiTheme="minorEastAsia" w:hAnsiTheme="minorEastAsia"/>
          <w:sz w:val="24"/>
        </w:rPr>
        <w:t>利用烟团模式计算各种污染物在事故发生后不同时间、不利气象条件下地面浓度、最大落地浓度和出现距离，确定各种污染物域值出现的范围，并对最不利气象条件下污染物扩散进行重点分析；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2</w:t>
      </w:r>
      <w:r>
        <w:rPr>
          <w:rFonts w:hint="eastAsia" w:asciiTheme="minorEastAsia" w:hAnsiTheme="minorEastAsia"/>
          <w:sz w:val="24"/>
          <w:lang w:eastAsia="zh-CN"/>
        </w:rPr>
        <w:t>）</w:t>
      </w:r>
      <w:r>
        <w:rPr>
          <w:rFonts w:asciiTheme="minorEastAsia" w:hAnsiTheme="minorEastAsia"/>
          <w:sz w:val="24"/>
        </w:rPr>
        <w:t>预测各风险因子LC50、IDLH浓度出现的时间及距离，并画出最大包络范围图。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3</w:t>
      </w:r>
      <w:r>
        <w:rPr>
          <w:rFonts w:hint="eastAsia" w:asciiTheme="minorEastAsia" w:hAnsiTheme="minorEastAsia"/>
          <w:sz w:val="24"/>
          <w:lang w:eastAsia="zh-CN"/>
        </w:rPr>
        <w:t>）</w:t>
      </w:r>
      <w:r>
        <w:rPr>
          <w:rFonts w:asciiTheme="minorEastAsia" w:hAnsiTheme="minorEastAsia"/>
          <w:sz w:val="24"/>
        </w:rPr>
        <w:t>预测模式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根据物质泄漏及有毒蒸汽释放的事故特点，采用《环境风险评价导则》推荐的多烟团叠加模式。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多烟团模式：</w:t>
      </w:r>
    </w:p>
    <w:p>
      <w:pPr>
        <w:rPr>
          <w:rFonts w:asciiTheme="minorEastAsia" w:hAnsiTheme="minorEastAsia"/>
          <w:sz w:val="24"/>
        </w:rPr>
      </w:pPr>
      <w:r>
        <w:rPr>
          <w:rFonts w:asciiTheme="minorEastAsia" w:hAnsiTheme="minorEastAsia"/>
          <w:sz w:val="24"/>
        </w:rPr>
        <w:pict>
          <v:shape id="_x0000_s1032" o:spid="_x0000_s1032" o:spt="75" type="#_x0000_t75" style="position:absolute;left:0pt;margin-left:243pt;margin-top:0.05pt;height:42pt;width:147pt;z-index:251672576;mso-width-relative:page;mso-height-relative:page;" o:ole="t" filled="f" o:preferrelative="t" stroked="f" coordsize="21600,21600">
            <v:path/>
            <v:fill on="f" focussize="0,0"/>
            <v:stroke on="f" joinstyle="miter"/>
            <v:imagedata r:id="rId47" o:title=""/>
            <o:lock v:ext="edit" aspectratio="t"/>
          </v:shape>
          <o:OLEObject Type="Embed" ProgID="Equation.3" ShapeID="_x0000_s1032" DrawAspect="Content" ObjectID="_1468075744" r:id="rId83">
            <o:LockedField>false</o:LockedField>
          </o:OLEObject>
        </w:pict>
      </w:r>
      <w:r>
        <w:rPr>
          <w:rFonts w:asciiTheme="minorEastAsia" w:hAnsiTheme="minorEastAsia"/>
          <w:sz w:val="24"/>
        </w:rPr>
        <w:pict>
          <v:shape id="_x0000_s1033" o:spid="_x0000_s1033" o:spt="75" type="#_x0000_t75" style="position:absolute;left:0pt;margin-left:27pt;margin-top:0.05pt;height:39.75pt;width:218.25pt;z-index:251673600;mso-width-relative:page;mso-height-relative:page;" o:ole="t" filled="f" o:preferrelative="t" stroked="f" coordsize="21600,21600">
            <v:path/>
            <v:fill on="f" focussize="0,0"/>
            <v:stroke on="f" joinstyle="miter"/>
            <v:imagedata r:id="rId49" o:title=""/>
            <o:lock v:ext="edit" aspectratio="t"/>
          </v:shape>
          <o:OLEObject Type="Embed" ProgID="Equation.3" ShapeID="_x0000_s1033" DrawAspect="Content" ObjectID="_1468075745" r:id="rId84">
            <o:LockedField>false</o:LockedField>
          </o:OLEObject>
        </w:pict>
      </w:r>
    </w:p>
    <w:p>
      <w:pPr>
        <w:rPr>
          <w:rFonts w:asciiTheme="minorEastAsia" w:hAnsiTheme="minorEastAsia"/>
          <w:sz w:val="24"/>
        </w:rPr>
      </w:pPr>
    </w:p>
    <w:p>
      <w:pPr>
        <w:rPr>
          <w:rFonts w:asciiTheme="minorEastAsia" w:hAnsiTheme="minorEastAsia"/>
          <w:sz w:val="24"/>
        </w:rPr>
      </w:pPr>
    </w:p>
    <w:p>
      <w:pPr>
        <w:rPr>
          <w:rFonts w:asciiTheme="minorEastAsia" w:hAnsiTheme="minorEastAsia"/>
          <w:sz w:val="24"/>
        </w:rPr>
      </w:pPr>
      <w:r>
        <w:rPr>
          <w:rFonts w:asciiTheme="minorEastAsia" w:hAnsiTheme="minorEastAsia"/>
          <w:sz w:val="24"/>
        </w:rPr>
        <w:t>式中：</w:t>
      </w:r>
      <w:r>
        <w:rPr>
          <w:rFonts w:asciiTheme="minorEastAsia" w:hAnsiTheme="minorEastAsia"/>
          <w:sz w:val="24"/>
        </w:rPr>
        <w:object>
          <v:shape id="_x0000_i1038" o:spt="75" type="#_x0000_t75" style="height:17.5pt;width:42.5pt;" o:ole="t" filled="f" o:preferrelative="t" stroked="f" coordsize="21600,21600">
            <v:path/>
            <v:fill on="f" focussize="0,0"/>
            <v:stroke on="f" joinstyle="miter"/>
            <v:imagedata r:id="rId51" o:title=""/>
            <o:lock v:ext="edit" aspectratio="t"/>
            <w10:wrap type="none"/>
            <w10:anchorlock/>
          </v:shape>
          <o:OLEObject Type="Embed" ProgID="Equation.3" ShapeID="_x0000_i1038" DrawAspect="Content" ObjectID="_1468075746" r:id="rId85">
            <o:LockedField>false</o:LockedField>
          </o:OLEObject>
        </w:object>
      </w:r>
      <w:r>
        <w:rPr>
          <w:rFonts w:asciiTheme="minorEastAsia" w:hAnsiTheme="minorEastAsia"/>
          <w:sz w:val="24"/>
        </w:rPr>
        <w:t>－下风向地面</w:t>
      </w:r>
      <w:r>
        <w:rPr>
          <w:rFonts w:asciiTheme="minorEastAsia" w:hAnsiTheme="minorEastAsia"/>
          <w:sz w:val="24"/>
        </w:rPr>
        <w:object>
          <v:shape id="_x0000_i1039" o:spt="75" type="#_x0000_t75" style="height:17.5pt;width:28pt;" o:ole="t" filled="f" o:preferrelative="t" stroked="f" coordsize="21600,21600">
            <v:path/>
            <v:fill on="f" focussize="0,0"/>
            <v:stroke on="f" joinstyle="miter"/>
            <v:imagedata r:id="rId53" o:title=""/>
            <o:lock v:ext="edit" aspectratio="t"/>
            <w10:wrap type="none"/>
            <w10:anchorlock/>
          </v:shape>
          <o:OLEObject Type="Embed" ProgID="Equation.3" ShapeID="_x0000_i1039" DrawAspect="Content" ObjectID="_1468075747" r:id="rId86">
            <o:LockedField>false</o:LockedField>
          </o:OLEObject>
        </w:object>
      </w:r>
      <w:r>
        <w:rPr>
          <w:rFonts w:asciiTheme="minorEastAsia" w:hAnsiTheme="minorEastAsia"/>
          <w:sz w:val="24"/>
        </w:rPr>
        <w:t>坐标处的空气中污染物浓度；</w:t>
      </w:r>
    </w:p>
    <w:p>
      <w:pPr>
        <w:rPr>
          <w:rFonts w:asciiTheme="minorEastAsia" w:hAnsiTheme="minorEastAsia"/>
          <w:sz w:val="24"/>
        </w:rPr>
      </w:pPr>
      <w:r>
        <w:rPr>
          <w:rFonts w:asciiTheme="minorEastAsia" w:hAnsiTheme="minorEastAsia"/>
          <w:sz w:val="24"/>
        </w:rPr>
        <w:object>
          <v:shape id="_x0000_i1040" o:spt="75" type="#_x0000_t75" style="height:18pt;width:46pt;" o:ole="t" filled="f" o:preferrelative="t" stroked="f" coordsize="21600,21600">
            <v:path/>
            <v:fill on="f" focussize="0,0"/>
            <v:stroke on="f" joinstyle="miter"/>
            <v:imagedata r:id="rId55" o:title=""/>
            <o:lock v:ext="edit" aspectratio="t"/>
            <w10:wrap type="none"/>
            <w10:anchorlock/>
          </v:shape>
          <o:OLEObject Type="Embed" ProgID="Equation.3" ShapeID="_x0000_i1040" DrawAspect="Content" ObjectID="_1468075748" r:id="rId87">
            <o:LockedField>false</o:LockedField>
          </o:OLEObject>
        </w:object>
      </w:r>
      <w:r>
        <w:rPr>
          <w:rFonts w:asciiTheme="minorEastAsia" w:hAnsiTheme="minorEastAsia"/>
          <w:sz w:val="24"/>
        </w:rPr>
        <w:t>－烟团中心坐标；</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Q－事故期间烟团的排放量。</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对于瞬时或短时间事故，采用下述变天条件下多烟团模式：</w:t>
      </w:r>
    </w:p>
    <w:p>
      <w:pPr>
        <w:rPr>
          <w:rFonts w:asciiTheme="minorEastAsia" w:hAnsiTheme="minorEastAsia"/>
          <w:sz w:val="24"/>
        </w:rPr>
      </w:pPr>
      <w:r>
        <w:rPr>
          <w:rFonts w:asciiTheme="minorEastAsia" w:hAnsiTheme="minorEastAsia"/>
          <w:sz w:val="24"/>
        </w:rPr>
        <w:pict>
          <v:shape id="_x0000_s1034" o:spid="_x0000_s1034" o:spt="75" type="#_x0000_t75" style="position:absolute;left:0pt;margin-left:0pt;margin-top:0pt;height:34.1pt;width:405pt;mso-wrap-distance-bottom:0pt;mso-wrap-distance-top:0pt;z-index:251671552;mso-width-relative:page;mso-height-relative:page;" o:ole="t" filled="f" o:preferrelative="t" stroked="f" coordsize="21600,21600">
            <v:path/>
            <v:fill on="f" focussize="0,0"/>
            <v:stroke on="f" joinstyle="miter"/>
            <v:imagedata r:id="rId57" o:title=""/>
            <o:lock v:ext="edit" aspectratio="t"/>
            <w10:wrap type="topAndBottom"/>
          </v:shape>
          <o:OLEObject Type="Embed" ProgID="Equation.3" ShapeID="_x0000_s1034" DrawAspect="Content" ObjectID="_1468075749" r:id="rId88">
            <o:LockedField>false</o:LockedField>
          </o:OLEObject>
        </w:pict>
      </w:r>
      <w:r>
        <w:rPr>
          <w:rFonts w:asciiTheme="minorEastAsia" w:hAnsiTheme="minorEastAsia"/>
          <w:sz w:val="24"/>
        </w:rPr>
        <w:t>式中：</w:t>
      </w:r>
      <w:r>
        <w:rPr>
          <w:rFonts w:asciiTheme="minorEastAsia" w:hAnsiTheme="minorEastAsia"/>
          <w:sz w:val="24"/>
        </w:rPr>
        <w:drawing>
          <wp:inline distT="0" distB="0" distL="0" distR="0">
            <wp:extent cx="863600" cy="241300"/>
            <wp:effectExtent l="0" t="0" r="12700" b="571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58" cstate="print"/>
                    <a:srcRect/>
                    <a:stretch>
                      <a:fillRect/>
                    </a:stretch>
                  </pic:blipFill>
                  <pic:spPr>
                    <a:xfrm>
                      <a:off x="0" y="0"/>
                      <a:ext cx="8636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第i个烟团在tw时刻·（即第w时段）在点(x,y,0)产生的地面浓度；</w:t>
      </w:r>
    </w:p>
    <w:p>
      <w:pPr>
        <w:rPr>
          <w:rFonts w:asciiTheme="minorEastAsia" w:hAnsiTheme="minorEastAsia"/>
          <w:sz w:val="24"/>
        </w:rPr>
      </w:pPr>
      <w:r>
        <w:rPr>
          <w:rFonts w:asciiTheme="minorEastAsia" w:hAnsiTheme="minorEastAsia"/>
          <w:sz w:val="24"/>
        </w:rPr>
        <w:drawing>
          <wp:inline distT="0" distB="0" distL="0" distR="0">
            <wp:extent cx="342900" cy="241300"/>
            <wp:effectExtent l="0" t="0" r="0" b="444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59"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42900" cy="241300"/>
            <wp:effectExtent l="0" t="0" r="0" b="444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60"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30200" cy="241300"/>
            <wp:effectExtent l="0" t="0" r="0" b="444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noChangeArrowheads="1"/>
                    </pic:cNvPicPr>
                  </pic:nvPicPr>
                  <pic:blipFill>
                    <a:blip r:embed="rId61" cstate="print"/>
                    <a:srcRect/>
                    <a:stretch>
                      <a:fillRect/>
                    </a:stretch>
                  </pic:blipFill>
                  <pic:spPr>
                    <a:xfrm>
                      <a:off x="0" y="0"/>
                      <a:ext cx="330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烟团在w时段沿x、y和z方向的等效扩散参数（m），可由下式估算：</w:t>
      </w:r>
    </w:p>
    <w:p>
      <w:pPr>
        <w:rPr>
          <w:rFonts w:asciiTheme="minorEastAsia" w:hAnsiTheme="minorEastAsia"/>
          <w:sz w:val="24"/>
        </w:rPr>
      </w:pPr>
      <w:r>
        <w:rPr>
          <w:rFonts w:asciiTheme="minorEastAsia" w:hAnsiTheme="minorEastAsia"/>
          <w:sz w:val="24"/>
        </w:rPr>
        <w:drawing>
          <wp:inline distT="0" distB="0" distL="0" distR="0">
            <wp:extent cx="2368550" cy="488950"/>
            <wp:effectExtent l="0" t="0" r="12700" b="508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62" cstate="print"/>
                    <a:srcRect/>
                    <a:stretch>
                      <a:fillRect/>
                    </a:stretch>
                  </pic:blipFill>
                  <pic:spPr>
                    <a:xfrm>
                      <a:off x="0" y="0"/>
                      <a:ext cx="2368550" cy="48895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w:t>
      </w:r>
    </w:p>
    <w:p>
      <w:pPr>
        <w:rPr>
          <w:rFonts w:asciiTheme="minorEastAsia" w:hAnsiTheme="minorEastAsia"/>
          <w:sz w:val="24"/>
        </w:rPr>
      </w:pPr>
      <w:r>
        <w:rPr>
          <w:rFonts w:asciiTheme="minorEastAsia" w:hAnsiTheme="minorEastAsia"/>
          <w:sz w:val="24"/>
        </w:rPr>
        <w:drawing>
          <wp:inline distT="0" distB="0" distL="0" distR="0">
            <wp:extent cx="1746250" cy="3048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63" cstate="print"/>
                    <a:srcRect/>
                    <a:stretch>
                      <a:fillRect/>
                    </a:stretch>
                  </pic:blipFill>
                  <pic:spPr>
                    <a:xfrm>
                      <a:off x="0" y="0"/>
                      <a:ext cx="1746250" cy="3048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扩散因子，对tw时段的事故按下式计算：</w:t>
      </w:r>
    </w:p>
    <w:p>
      <w:pPr>
        <w:rPr>
          <w:rFonts w:asciiTheme="minorEastAsia" w:hAnsiTheme="minorEastAsia"/>
          <w:sz w:val="24"/>
        </w:rPr>
      </w:pPr>
      <w:r>
        <w:rPr>
          <w:rFonts w:asciiTheme="minorEastAsia" w:hAnsiTheme="minorEastAsia"/>
          <w:sz w:val="24"/>
        </w:rPr>
        <w:t>式中：</w:t>
      </w:r>
      <w:r>
        <w:rPr>
          <w:rFonts w:asciiTheme="minorEastAsia" w:hAnsiTheme="minorEastAsia"/>
          <w:sz w:val="24"/>
        </w:rPr>
        <w:drawing>
          <wp:inline distT="0" distB="0" distL="0" distR="0">
            <wp:extent cx="177800" cy="228600"/>
            <wp:effectExtent l="0" t="0" r="1270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64" cstate="print"/>
                    <a:srcRect/>
                    <a:stretch>
                      <a:fillRect/>
                    </a:stretch>
                  </pic:blipFill>
                  <pic:spPr>
                    <a:xfrm>
                      <a:off x="0" y="0"/>
                      <a:ext cx="177800" cy="2286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烟团排放量，</w:t>
      </w:r>
      <w:r>
        <w:rPr>
          <w:rFonts w:asciiTheme="minorEastAsia" w:hAnsiTheme="minorEastAsia"/>
          <w:sz w:val="24"/>
        </w:rPr>
        <w:drawing>
          <wp:inline distT="0" distB="0" distL="0" distR="0">
            <wp:extent cx="609600" cy="2286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65" cstate="print"/>
                    <a:srcRect/>
                    <a:stretch>
                      <a:fillRect/>
                    </a:stretch>
                  </pic:blipFill>
                  <pic:spPr>
                    <a:xfrm>
                      <a:off x="0" y="0"/>
                      <a:ext cx="609600" cy="2286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152400" cy="203200"/>
            <wp:effectExtent l="0" t="0" r="0" b="444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66" cstate="print"/>
                    <a:srcRect/>
                    <a:stretch>
                      <a:fillRect/>
                    </a:stretch>
                  </pic:blipFill>
                  <pic:spPr>
                    <a:xfrm>
                      <a:off x="0" y="0"/>
                      <a:ext cx="152400" cy="203200"/>
                    </a:xfrm>
                    <a:prstGeom prst="rect">
                      <a:avLst/>
                    </a:prstGeom>
                    <a:noFill/>
                    <a:ln w="9525">
                      <a:noFill/>
                      <a:miter lim="800000"/>
                      <a:headEnd/>
                      <a:tailEnd/>
                    </a:ln>
                  </pic:spPr>
                </pic:pic>
              </a:graphicData>
            </a:graphic>
          </wp:inline>
        </w:drawing>
      </w:r>
      <w:r>
        <w:rPr>
          <w:rFonts w:asciiTheme="minorEastAsia" w:hAnsiTheme="minorEastAsia"/>
          <w:sz w:val="24"/>
        </w:rPr>
        <w:t>为释放率，</w:t>
      </w:r>
      <w:r>
        <w:rPr>
          <w:rFonts w:asciiTheme="minorEastAsia" w:hAnsiTheme="minorEastAsia"/>
          <w:sz w:val="24"/>
        </w:rPr>
        <w:drawing>
          <wp:inline distT="0" distB="0" distL="0" distR="0">
            <wp:extent cx="190500" cy="177800"/>
            <wp:effectExtent l="0" t="0" r="0" b="1333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67" cstate="print"/>
                    <a:srcRect/>
                    <a:stretch>
                      <a:fillRect/>
                    </a:stretch>
                  </pic:blipFill>
                  <pic:spPr>
                    <a:xfrm>
                      <a:off x="0" y="0"/>
                      <a:ext cx="190500" cy="177800"/>
                    </a:xfrm>
                    <a:prstGeom prst="rect">
                      <a:avLst/>
                    </a:prstGeom>
                    <a:noFill/>
                    <a:ln w="9525">
                      <a:noFill/>
                      <a:miter lim="800000"/>
                      <a:headEnd/>
                      <a:tailEnd/>
                    </a:ln>
                  </pic:spPr>
                </pic:pic>
              </a:graphicData>
            </a:graphic>
          </wp:inline>
        </w:drawing>
      </w:r>
      <w:r>
        <w:rPr>
          <w:rFonts w:asciiTheme="minorEastAsia" w:hAnsiTheme="minorEastAsia"/>
          <w:sz w:val="24"/>
        </w:rPr>
        <w:t>为时段长度；</w:t>
      </w:r>
    </w:p>
    <w:p>
      <w:pPr>
        <w:rPr>
          <w:rFonts w:asciiTheme="minorEastAsia" w:hAnsiTheme="minorEastAsia"/>
          <w:sz w:val="24"/>
        </w:rPr>
      </w:pPr>
      <w:r>
        <w:rPr>
          <w:rFonts w:asciiTheme="minorEastAsia" w:hAnsiTheme="minorEastAsia"/>
          <w:sz w:val="24"/>
        </w:rPr>
        <w:drawing>
          <wp:inline distT="0" distB="0" distL="0" distR="0">
            <wp:extent cx="190500" cy="241300"/>
            <wp:effectExtent l="0" t="0" r="0"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68" cstate="print"/>
                    <a:srcRect/>
                    <a:stretch>
                      <a:fillRect/>
                    </a:stretch>
                  </pic:blipFill>
                  <pic:spPr>
                    <a:xfrm>
                      <a:off x="0" y="0"/>
                      <a:ext cx="190500" cy="241300"/>
                    </a:xfrm>
                    <a:prstGeom prst="rect">
                      <a:avLst/>
                    </a:prstGeom>
                    <a:noFill/>
                    <a:ln w="9525">
                      <a:noFill/>
                      <a:miter lim="800000"/>
                      <a:headEnd/>
                      <a:tailEnd/>
                    </a:ln>
                  </pic:spPr>
                </pic:pic>
              </a:graphicData>
            </a:graphic>
          </wp:inline>
        </w:drawing>
      </w:r>
      <w:r>
        <w:rPr>
          <w:rFonts w:asciiTheme="minorEastAsia" w:hAnsiTheme="minorEastAsia"/>
          <w:sz w:val="24"/>
        </w:rPr>
        <w:t>和</w:t>
      </w:r>
      <w:r>
        <w:rPr>
          <w:rFonts w:asciiTheme="minorEastAsia" w:hAnsiTheme="minorEastAsia"/>
          <w:sz w:val="24"/>
        </w:rPr>
        <w:drawing>
          <wp:inline distT="0" distB="0" distL="0" distR="0">
            <wp:extent cx="203200" cy="241300"/>
            <wp:effectExtent l="0" t="0" r="6350" b="508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69" cstate="print"/>
                    <a:srcRect/>
                    <a:stretch>
                      <a:fillRect/>
                    </a:stretch>
                  </pic:blipFill>
                  <pic:spPr>
                    <a:xfrm>
                      <a:off x="0" y="0"/>
                      <a:ext cx="203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第w时段结束时第i烟团质心的x和y坐标，由下述两式计算：</w:t>
      </w:r>
    </w:p>
    <w:p>
      <w:pPr>
        <w:rPr>
          <w:rFonts w:asciiTheme="minorEastAsia" w:hAnsiTheme="minorEastAsia"/>
          <w:sz w:val="24"/>
        </w:rPr>
      </w:pPr>
      <w:r>
        <w:rPr>
          <w:rFonts w:asciiTheme="minorEastAsia" w:hAnsiTheme="minorEastAsia"/>
          <w:sz w:val="24"/>
        </w:rPr>
        <w:drawing>
          <wp:inline distT="0" distB="0" distL="0" distR="0">
            <wp:extent cx="2482850" cy="47625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70" cstate="print"/>
                    <a:srcRect/>
                    <a:stretch>
                      <a:fillRect/>
                    </a:stretch>
                  </pic:blipFill>
                  <pic:spPr>
                    <a:xfrm>
                      <a:off x="0" y="0"/>
                      <a:ext cx="2482850" cy="47625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drawing>
          <wp:inline distT="0" distB="0" distL="0" distR="0">
            <wp:extent cx="2482850" cy="469900"/>
            <wp:effectExtent l="0" t="0" r="12700" b="50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71" cstate="print"/>
                    <a:srcRect/>
                    <a:stretch>
                      <a:fillRect/>
                    </a:stretch>
                  </pic:blipFill>
                  <pic:spPr>
                    <a:xfrm>
                      <a:off x="0" y="0"/>
                      <a:ext cx="2482850" cy="46990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t>各个烟团对某个关心点t小时的浓度贡献，按下式计算：</w:t>
      </w:r>
    </w:p>
    <w:p>
      <w:pPr>
        <w:rPr>
          <w:rFonts w:asciiTheme="minorEastAsia" w:hAnsiTheme="minorEastAsia"/>
          <w:sz w:val="24"/>
        </w:rPr>
      </w:pPr>
      <w:r>
        <w:rPr>
          <w:rFonts w:asciiTheme="minorEastAsia" w:hAnsiTheme="minorEastAsia"/>
          <w:sz w:val="24"/>
        </w:rPr>
        <w:drawing>
          <wp:inline distT="0" distB="0" distL="0" distR="0">
            <wp:extent cx="2025650" cy="49530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72" cstate="print"/>
                    <a:srcRect/>
                    <a:stretch>
                      <a:fillRect/>
                    </a:stretch>
                  </pic:blipFill>
                  <pic:spPr>
                    <a:xfrm>
                      <a:off x="0" y="0"/>
                      <a:ext cx="2025650" cy="4953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式中：n－需要跟踪的烟团数，可由下式确定：</w:t>
      </w:r>
    </w:p>
    <w:p>
      <w:pPr>
        <w:rPr>
          <w:rFonts w:asciiTheme="minorEastAsia" w:hAnsiTheme="minorEastAsia"/>
          <w:sz w:val="24"/>
        </w:rPr>
      </w:pPr>
      <w:r>
        <w:rPr>
          <w:rFonts w:asciiTheme="minorEastAsia" w:hAnsiTheme="minorEastAsia"/>
          <w:sz w:val="24"/>
        </w:rPr>
        <w:drawing>
          <wp:inline distT="0" distB="0" distL="0" distR="0">
            <wp:extent cx="2254250" cy="488950"/>
            <wp:effectExtent l="0" t="0" r="12700" b="508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73" cstate="print"/>
                    <a:srcRect/>
                    <a:stretch>
                      <a:fillRect/>
                    </a:stretch>
                  </pic:blipFill>
                  <pic:spPr>
                    <a:xfrm>
                      <a:off x="0" y="0"/>
                      <a:ext cx="2254250" cy="488950"/>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f为小于1的系数，可根据计算要求确定。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4</w:t>
      </w:r>
      <w:r>
        <w:rPr>
          <w:rFonts w:hint="eastAsia" w:asciiTheme="minorEastAsia" w:hAnsiTheme="minorEastAsia"/>
          <w:sz w:val="24"/>
          <w:lang w:eastAsia="zh-CN"/>
        </w:rPr>
        <w:t>）</w:t>
      </w:r>
      <w:r>
        <w:rPr>
          <w:rFonts w:asciiTheme="minorEastAsia" w:hAnsiTheme="minorEastAsia"/>
          <w:sz w:val="24"/>
        </w:rPr>
        <w:t>气象条件选择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szCs w:val="24"/>
        </w:rPr>
      </w:pPr>
      <w:r>
        <w:rPr>
          <w:rFonts w:asciiTheme="minorEastAsia" w:hAnsiTheme="minorEastAsia"/>
          <w:sz w:val="24"/>
        </w:rPr>
        <w:t>分别对B、D、F三个稳定度静风（0.5 m/s）、小风（1.5 m/s）、多年平均风速（2.02m/s）、风速（3.09m/s）四个代表性风速条件下，以事故发生时</w:t>
      </w:r>
      <w:r>
        <w:rPr>
          <w:rFonts w:hint="default" w:ascii="Times New Roman" w:hAnsi="Times New Roman" w:cs="Times New Roman"/>
          <w:sz w:val="24"/>
          <w:szCs w:val="24"/>
        </w:rPr>
        <w:t>污染物轴线最大落地浓度作为评价标准，比较分析事故的影响范围，选取对环境影响最大的气象条件作为风险预测的气象条件。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5</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危害后果分析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各不利气象条件下液氨球罐泄漏氨对下风向的影响范围。假定事故在30min内得到控制，事故发生后10min，20min和30min不同气象条件下氨对下风向的影响见表</w:t>
      </w:r>
      <w:r>
        <w:rPr>
          <w:rFonts w:hint="eastAsia" w:ascii="Times New Roman" w:hAnsi="Times New Roman" w:cs="Times New Roman"/>
          <w:sz w:val="24"/>
          <w:szCs w:val="24"/>
          <w:lang w:val="en-US" w:eastAsia="zh-CN"/>
        </w:rPr>
        <w:t>5.5-4</w:t>
      </w:r>
      <w:r>
        <w:rPr>
          <w:rFonts w:hint="default" w:ascii="Times New Roman" w:hAnsi="Times New Roman" w:cs="Times New Roman"/>
          <w:sz w:val="24"/>
          <w:szCs w:val="24"/>
        </w:rPr>
        <w:t>。由表</w:t>
      </w:r>
      <w:r>
        <w:rPr>
          <w:rFonts w:hint="eastAsia" w:ascii="Times New Roman" w:hAnsi="Times New Roman" w:cs="Times New Roman"/>
          <w:sz w:val="24"/>
          <w:szCs w:val="24"/>
          <w:lang w:val="en-US" w:eastAsia="zh-CN"/>
        </w:rPr>
        <w:t>5.5-4</w:t>
      </w:r>
      <w:r>
        <w:rPr>
          <w:rFonts w:hint="default" w:ascii="Times New Roman" w:hAnsi="Times New Roman" w:cs="Times New Roman"/>
          <w:sz w:val="24"/>
          <w:szCs w:val="24"/>
        </w:rPr>
        <w:t>可知，在1.5m/s、F稳定度气象条件下液氨球罐泄漏后10min 液氨泄露半致死浓度最大，由表</w:t>
      </w:r>
      <w:r>
        <w:rPr>
          <w:rFonts w:hint="eastAsia" w:ascii="Times New Roman" w:hAnsi="Times New Roman" w:cs="Times New Roman"/>
          <w:sz w:val="24"/>
          <w:szCs w:val="24"/>
          <w:lang w:val="en-US" w:eastAsia="zh-CN"/>
        </w:rPr>
        <w:t>5.5-4</w:t>
      </w:r>
      <w:r>
        <w:rPr>
          <w:rFonts w:hint="default" w:ascii="Times New Roman" w:hAnsi="Times New Roman" w:cs="Times New Roman"/>
          <w:sz w:val="24"/>
          <w:szCs w:val="24"/>
        </w:rPr>
        <w:t>可以看出，在该气象条件下，超过半致死浓度的最远距离为433m，面积达到2.64×10</w:t>
      </w:r>
      <w:r>
        <w:rPr>
          <w:rFonts w:hint="default" w:ascii="Times New Roman" w:hAnsi="Times New Roman" w:cs="Times New Roman"/>
          <w:sz w:val="24"/>
          <w:szCs w:val="24"/>
          <w:vertAlign w:val="superscript"/>
        </w:rPr>
        <w:t>4</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；超过立即威胁生命和监控浓度的最远距离为568.3m，面积达到2.44×10</w:t>
      </w:r>
      <w:r>
        <w:rPr>
          <w:rFonts w:hint="default" w:ascii="Times New Roman" w:hAnsi="Times New Roman" w:cs="Times New Roman"/>
          <w:sz w:val="24"/>
          <w:szCs w:val="24"/>
          <w:vertAlign w:val="superscript"/>
        </w:rPr>
        <w:t>4</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，超过居住区容许浓度范围的距离为713.1m，面积达到9.91×10</w:t>
      </w:r>
      <w:r>
        <w:rPr>
          <w:rFonts w:hint="default" w:ascii="Times New Roman" w:hAnsi="Times New Roman" w:cs="Times New Roman"/>
          <w:sz w:val="24"/>
          <w:szCs w:val="24"/>
          <w:vertAlign w:val="superscript"/>
        </w:rPr>
        <w:t>4</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，事故泄露影响包络线范围见图</w:t>
      </w:r>
      <w:r>
        <w:rPr>
          <w:rFonts w:hint="eastAsia" w:ascii="Times New Roman" w:hAnsi="Times New Roman" w:cs="Times New Roman"/>
          <w:sz w:val="24"/>
          <w:szCs w:val="24"/>
          <w:lang w:val="en-US" w:eastAsia="zh-CN"/>
        </w:rPr>
        <w:t>5</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5</w:t>
      </w:r>
      <w:r>
        <w:rPr>
          <w:rFonts w:hint="default" w:ascii="Times New Roman" w:hAnsi="Times New Roman" w:cs="Times New Roman"/>
          <w:sz w:val="24"/>
          <w:szCs w:val="24"/>
          <w:lang w:val="en-US" w:eastAsia="zh-CN"/>
        </w:rPr>
        <w:t>-4</w:t>
      </w:r>
      <w:r>
        <w:rPr>
          <w:rFonts w:hint="default" w:ascii="Times New Roman" w:hAnsi="Times New Roman" w:cs="Times New Roman"/>
          <w:sz w:val="24"/>
          <w:szCs w:val="24"/>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cs="Times New Roman"/>
          <w:b/>
          <w:sz w:val="24"/>
          <w:szCs w:val="24"/>
        </w:rPr>
      </w:pPr>
      <w:r>
        <w:rPr>
          <w:rFonts w:hint="default" w:ascii="Times New Roman" w:hAnsi="Times New Roman" w:cs="Times New Roman"/>
          <w:b/>
          <w:sz w:val="24"/>
          <w:szCs w:val="24"/>
        </w:rPr>
        <w:t>表</w:t>
      </w:r>
      <w:r>
        <w:rPr>
          <w:rFonts w:hint="eastAsia" w:ascii="Times New Roman" w:hAnsi="Times New Roman" w:cs="Times New Roman"/>
          <w:b/>
          <w:sz w:val="24"/>
          <w:szCs w:val="24"/>
          <w:lang w:val="en-US" w:eastAsia="zh-CN"/>
        </w:rPr>
        <w:t>5</w:t>
      </w:r>
      <w:r>
        <w:rPr>
          <w:rFonts w:hint="default" w:ascii="Times New Roman" w:hAnsi="Times New Roman" w:cs="Times New Roman"/>
          <w:b/>
          <w:sz w:val="24"/>
          <w:szCs w:val="24"/>
          <w:lang w:val="en-US" w:eastAsia="zh-CN"/>
        </w:rPr>
        <w:t>.</w:t>
      </w:r>
      <w:r>
        <w:rPr>
          <w:rFonts w:hint="eastAsia" w:ascii="Times New Roman" w:hAnsi="Times New Roman" w:cs="Times New Roman"/>
          <w:b/>
          <w:sz w:val="24"/>
          <w:szCs w:val="24"/>
          <w:lang w:val="en-US" w:eastAsia="zh-CN"/>
        </w:rPr>
        <w:t>5</w:t>
      </w:r>
      <w:r>
        <w:rPr>
          <w:rFonts w:hint="default" w:ascii="Times New Roman" w:hAnsi="Times New Roman" w:cs="Times New Roman"/>
          <w:b/>
          <w:sz w:val="24"/>
          <w:szCs w:val="24"/>
          <w:lang w:val="en-US" w:eastAsia="zh-CN"/>
        </w:rPr>
        <w:t xml:space="preserve">-4 </w:t>
      </w:r>
      <w:r>
        <w:rPr>
          <w:rFonts w:hint="default" w:ascii="Times New Roman" w:hAnsi="Times New Roman" w:cs="Times New Roman"/>
          <w:b/>
          <w:sz w:val="24"/>
          <w:szCs w:val="24"/>
        </w:rPr>
        <w:t xml:space="preserve">  液氨球罐泄漏氨气最大落地浓度以及事故后果分析</w:t>
      </w:r>
    </w:p>
    <w:tbl>
      <w:tblPr>
        <w:tblStyle w:val="2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0"/>
        <w:gridCol w:w="703"/>
        <w:gridCol w:w="982"/>
        <w:gridCol w:w="1300"/>
        <w:gridCol w:w="1236"/>
        <w:gridCol w:w="1126"/>
        <w:gridCol w:w="1351"/>
        <w:gridCol w:w="11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Align w:val="center"/>
          </w:tcPr>
          <w:p>
            <w:pPr>
              <w:jc w:val="center"/>
              <w:rPr>
                <w:rFonts w:asciiTheme="minorEastAsia" w:hAnsiTheme="minorEastAsia"/>
                <w:sz w:val="18"/>
                <w:szCs w:val="18"/>
              </w:rPr>
            </w:pPr>
            <w:r>
              <w:rPr>
                <w:rFonts w:asciiTheme="minorEastAsia" w:hAnsiTheme="minorEastAsia"/>
                <w:sz w:val="18"/>
                <w:szCs w:val="18"/>
              </w:rPr>
              <w:t>稳定度</w:t>
            </w:r>
          </w:p>
        </w:tc>
        <w:tc>
          <w:tcPr>
            <w:tcW w:w="412" w:type="pct"/>
            <w:vAlign w:val="center"/>
          </w:tcPr>
          <w:p>
            <w:pPr>
              <w:jc w:val="center"/>
              <w:rPr>
                <w:rFonts w:asciiTheme="minorEastAsia" w:hAnsiTheme="minorEastAsia"/>
                <w:sz w:val="18"/>
                <w:szCs w:val="18"/>
              </w:rPr>
            </w:pPr>
            <w:r>
              <w:rPr>
                <w:rFonts w:asciiTheme="minorEastAsia" w:hAnsiTheme="minorEastAsia"/>
                <w:sz w:val="18"/>
                <w:szCs w:val="18"/>
              </w:rPr>
              <w:t>风速</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预测时刻（min）</w:t>
            </w:r>
          </w:p>
        </w:tc>
        <w:tc>
          <w:tcPr>
            <w:tcW w:w="762" w:type="pct"/>
            <w:vAlign w:val="center"/>
          </w:tcPr>
          <w:p>
            <w:pPr>
              <w:jc w:val="center"/>
              <w:rPr>
                <w:rFonts w:asciiTheme="minorEastAsia" w:hAnsiTheme="minorEastAsia"/>
                <w:sz w:val="18"/>
                <w:szCs w:val="18"/>
              </w:rPr>
            </w:pPr>
            <w:r>
              <w:rPr>
                <w:rFonts w:asciiTheme="minorEastAsia" w:hAnsiTheme="minorEastAsia"/>
                <w:sz w:val="18"/>
                <w:szCs w:val="18"/>
              </w:rPr>
              <w:t>最大落地浓度mg/m3</w:t>
            </w:r>
          </w:p>
        </w:tc>
        <w:tc>
          <w:tcPr>
            <w:tcW w:w="725" w:type="pct"/>
            <w:vAlign w:val="center"/>
          </w:tcPr>
          <w:p>
            <w:pPr>
              <w:jc w:val="center"/>
              <w:rPr>
                <w:rFonts w:asciiTheme="minorEastAsia" w:hAnsiTheme="minorEastAsia"/>
                <w:sz w:val="18"/>
                <w:szCs w:val="18"/>
              </w:rPr>
            </w:pPr>
            <w:r>
              <w:rPr>
                <w:rFonts w:asciiTheme="minorEastAsia" w:hAnsiTheme="minorEastAsia"/>
                <w:sz w:val="18"/>
                <w:szCs w:val="18"/>
              </w:rPr>
              <w:t>出现距离（m）</w:t>
            </w:r>
          </w:p>
        </w:tc>
        <w:tc>
          <w:tcPr>
            <w:tcW w:w="660" w:type="pct"/>
            <w:vAlign w:val="center"/>
          </w:tcPr>
          <w:p>
            <w:pPr>
              <w:jc w:val="center"/>
              <w:rPr>
                <w:rFonts w:asciiTheme="minorEastAsia" w:hAnsiTheme="minorEastAsia"/>
                <w:sz w:val="18"/>
                <w:szCs w:val="18"/>
              </w:rPr>
            </w:pPr>
            <w:r>
              <w:rPr>
                <w:rFonts w:asciiTheme="minorEastAsia" w:hAnsiTheme="minorEastAsia"/>
                <w:sz w:val="18"/>
                <w:szCs w:val="18"/>
              </w:rPr>
              <w:t>半致死浓度范围（m）</w:t>
            </w:r>
          </w:p>
        </w:tc>
        <w:tc>
          <w:tcPr>
            <w:tcW w:w="792" w:type="pct"/>
            <w:vAlign w:val="center"/>
          </w:tcPr>
          <w:p>
            <w:pPr>
              <w:jc w:val="center"/>
              <w:rPr>
                <w:rFonts w:asciiTheme="minorEastAsia" w:hAnsiTheme="minorEastAsia"/>
                <w:sz w:val="18"/>
                <w:szCs w:val="18"/>
              </w:rPr>
            </w:pPr>
            <w:r>
              <w:rPr>
                <w:rFonts w:asciiTheme="minorEastAsia" w:hAnsiTheme="minorEastAsia"/>
                <w:sz w:val="18"/>
                <w:szCs w:val="18"/>
              </w:rPr>
              <w:t>立即威胁生命和健康浓度（m）</w:t>
            </w:r>
          </w:p>
        </w:tc>
        <w:tc>
          <w:tcPr>
            <w:tcW w:w="659" w:type="pct"/>
            <w:vAlign w:val="center"/>
          </w:tcPr>
          <w:p>
            <w:pPr>
              <w:jc w:val="center"/>
              <w:rPr>
                <w:rFonts w:asciiTheme="minorEastAsia" w:hAnsiTheme="minorEastAsia"/>
                <w:sz w:val="18"/>
                <w:szCs w:val="18"/>
              </w:rPr>
            </w:pPr>
            <w:r>
              <w:rPr>
                <w:rFonts w:asciiTheme="minorEastAsia" w:hAnsiTheme="minorEastAsia"/>
                <w:sz w:val="18"/>
                <w:szCs w:val="18"/>
              </w:rPr>
              <w:t>居住区最高允许浓度（m）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静风</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6,785.54</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4.1</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19.6</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38.5</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827.50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0.61</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295.4</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1,138.60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0.1143</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553.1</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静风</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54,916.67</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3.6</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46.3</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90.5</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10.1662</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251.3</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1,160.50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1.918</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470.8</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1,538.40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静风</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25,180.06</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6.8</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71.6</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137.3</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672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30.819</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231.9</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1,182.90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5.8217</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434.4</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1,619.10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1.5</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38,620.39</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11.3</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99.1</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204.8</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1,186.90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18.727</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813.6</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2,008.60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4.7008</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1,571.60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2,749.40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1.5</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45,378.16</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10.6</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168</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351.9</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936.60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85.65</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702.2</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1,688.90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24.6406</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1,383.60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2,396.10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shd w:val="clear" w:color="auto" w:fill="auto"/>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shd w:val="clear" w:color="auto" w:fill="auto"/>
            <w:vAlign w:val="center"/>
          </w:tcPr>
          <w:p>
            <w:pPr>
              <w:jc w:val="center"/>
              <w:rPr>
                <w:rFonts w:asciiTheme="minorEastAsia" w:hAnsiTheme="minorEastAsia"/>
                <w:sz w:val="18"/>
                <w:szCs w:val="18"/>
              </w:rPr>
            </w:pPr>
            <w:r>
              <w:rPr>
                <w:rFonts w:asciiTheme="minorEastAsia" w:hAnsiTheme="minorEastAsia"/>
                <w:sz w:val="18"/>
                <w:szCs w:val="18"/>
              </w:rPr>
              <w:t>1.5</w:t>
            </w:r>
          </w:p>
        </w:tc>
        <w:tc>
          <w:tcPr>
            <w:tcW w:w="576" w:type="pct"/>
            <w:shd w:val="clear" w:color="auto" w:fill="auto"/>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73526.96</w:t>
            </w:r>
          </w:p>
        </w:tc>
        <w:tc>
          <w:tcPr>
            <w:tcW w:w="725"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27.6</w:t>
            </w:r>
          </w:p>
        </w:tc>
        <w:tc>
          <w:tcPr>
            <w:tcW w:w="660"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433</w:t>
            </w:r>
          </w:p>
        </w:tc>
        <w:tc>
          <w:tcPr>
            <w:tcW w:w="792"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568.3</w:t>
            </w:r>
          </w:p>
        </w:tc>
        <w:tc>
          <w:tcPr>
            <w:tcW w:w="659"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713.1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shd w:val="clear" w:color="auto" w:fill="auto"/>
            <w:vAlign w:val="center"/>
          </w:tcPr>
          <w:p>
            <w:pPr>
              <w:jc w:val="center"/>
              <w:rPr>
                <w:rFonts w:asciiTheme="minorEastAsia" w:hAnsiTheme="minorEastAsia"/>
                <w:sz w:val="18"/>
                <w:szCs w:val="18"/>
              </w:rPr>
            </w:pPr>
          </w:p>
        </w:tc>
        <w:tc>
          <w:tcPr>
            <w:tcW w:w="412" w:type="pct"/>
            <w:vMerge w:val="continue"/>
            <w:shd w:val="clear" w:color="auto" w:fill="auto"/>
            <w:vAlign w:val="center"/>
          </w:tcPr>
          <w:p>
            <w:pPr>
              <w:jc w:val="center"/>
              <w:rPr>
                <w:rFonts w:asciiTheme="minorEastAsia" w:hAnsiTheme="minorEastAsia"/>
                <w:sz w:val="18"/>
                <w:szCs w:val="18"/>
              </w:rPr>
            </w:pPr>
          </w:p>
        </w:tc>
        <w:tc>
          <w:tcPr>
            <w:tcW w:w="576" w:type="pct"/>
            <w:shd w:val="clear" w:color="auto" w:fill="auto"/>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709.30</w:t>
            </w:r>
          </w:p>
        </w:tc>
        <w:tc>
          <w:tcPr>
            <w:tcW w:w="725"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623.2</w:t>
            </w:r>
          </w:p>
        </w:tc>
        <w:tc>
          <w:tcPr>
            <w:tcW w:w="660" w:type="pct"/>
            <w:shd w:val="clear" w:color="FFFF00" w:fill="auto"/>
            <w:vAlign w:val="center"/>
          </w:tcPr>
          <w:p>
            <w:pPr>
              <w:jc w:val="center"/>
              <w:rPr>
                <w:rFonts w:asciiTheme="minorEastAsia" w:hAnsiTheme="minorEastAsia"/>
                <w:sz w:val="18"/>
                <w:szCs w:val="18"/>
              </w:rPr>
            </w:pPr>
          </w:p>
        </w:tc>
        <w:tc>
          <w:tcPr>
            <w:tcW w:w="792"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958.60</w:t>
            </w:r>
          </w:p>
        </w:tc>
        <w:tc>
          <w:tcPr>
            <w:tcW w:w="659"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1,368.70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shd w:val="clear" w:color="auto" w:fill="auto"/>
            <w:vAlign w:val="center"/>
          </w:tcPr>
          <w:p>
            <w:pPr>
              <w:jc w:val="center"/>
              <w:rPr>
                <w:rFonts w:asciiTheme="minorEastAsia" w:hAnsiTheme="minorEastAsia"/>
                <w:sz w:val="18"/>
                <w:szCs w:val="18"/>
              </w:rPr>
            </w:pPr>
          </w:p>
        </w:tc>
        <w:tc>
          <w:tcPr>
            <w:tcW w:w="412" w:type="pct"/>
            <w:vMerge w:val="continue"/>
            <w:shd w:val="clear" w:color="auto" w:fill="auto"/>
            <w:vAlign w:val="center"/>
          </w:tcPr>
          <w:p>
            <w:pPr>
              <w:jc w:val="center"/>
              <w:rPr>
                <w:rFonts w:asciiTheme="minorEastAsia" w:hAnsiTheme="minorEastAsia"/>
                <w:sz w:val="18"/>
                <w:szCs w:val="18"/>
              </w:rPr>
            </w:pPr>
          </w:p>
        </w:tc>
        <w:tc>
          <w:tcPr>
            <w:tcW w:w="576" w:type="pct"/>
            <w:shd w:val="clear" w:color="auto" w:fill="auto"/>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234.22</w:t>
            </w:r>
          </w:p>
        </w:tc>
        <w:tc>
          <w:tcPr>
            <w:tcW w:w="725"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1,243.20</w:t>
            </w:r>
          </w:p>
        </w:tc>
        <w:tc>
          <w:tcPr>
            <w:tcW w:w="660" w:type="pct"/>
            <w:shd w:val="clear" w:color="FFFF00" w:fill="auto"/>
            <w:vAlign w:val="center"/>
          </w:tcPr>
          <w:p>
            <w:pPr>
              <w:jc w:val="center"/>
              <w:rPr>
                <w:rFonts w:asciiTheme="minorEastAsia" w:hAnsiTheme="minorEastAsia"/>
                <w:sz w:val="18"/>
                <w:szCs w:val="18"/>
              </w:rPr>
            </w:pPr>
          </w:p>
        </w:tc>
        <w:tc>
          <w:tcPr>
            <w:tcW w:w="792" w:type="pct"/>
            <w:shd w:val="clear" w:color="FFFF00" w:fill="auto"/>
            <w:vAlign w:val="center"/>
          </w:tcPr>
          <w:p>
            <w:pPr>
              <w:jc w:val="center"/>
              <w:rPr>
                <w:rFonts w:asciiTheme="minorEastAsia" w:hAnsiTheme="minorEastAsia"/>
                <w:sz w:val="18"/>
                <w:szCs w:val="18"/>
              </w:rPr>
            </w:pPr>
          </w:p>
        </w:tc>
        <w:tc>
          <w:tcPr>
            <w:tcW w:w="659" w:type="pct"/>
            <w:shd w:val="clear" w:color="FFFF00" w:fill="auto"/>
            <w:vAlign w:val="center"/>
          </w:tcPr>
          <w:p>
            <w:pPr>
              <w:jc w:val="center"/>
              <w:rPr>
                <w:rFonts w:asciiTheme="minorEastAsia" w:hAnsiTheme="minorEastAsia"/>
                <w:sz w:val="18"/>
                <w:szCs w:val="18"/>
              </w:rPr>
            </w:pPr>
            <w:r>
              <w:rPr>
                <w:rFonts w:hint="eastAsia" w:asciiTheme="minorEastAsia" w:hAnsiTheme="minorEastAsia"/>
                <w:sz w:val="18"/>
                <w:szCs w:val="18"/>
              </w:rPr>
              <w:t>2,008.70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2.02</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28,482.63</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14.4</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84.3</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174.7</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1,445.60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7.7533</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1,103.30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2,463.80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1.9835</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2,127.00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3,372.90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2.02</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55,401.33</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13.5</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142.6</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299.2</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1,187.30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37.0125</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944.8</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2,148.90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10.8248</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1,864.10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3,053.60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2.02</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77,588.33</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24.9</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362.7</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714.1</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938.80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319.20</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837.7</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1,804.30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113.24</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1,670.30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2,650.10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3.09</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13,057.32</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21.4</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66.7</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139.1</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1,925.40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2.2417</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1,691.10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3,283.60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0.5781</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3,274.10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4,435.90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3.09</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39,236.63</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19.8</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112.5</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237.20</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1,669.30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11.3715</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1,446.30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3,033.40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3.3408</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2,851.80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4,310.80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restart"/>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vAlign w:val="center"/>
          </w:tcPr>
          <w:p>
            <w:pPr>
              <w:jc w:val="center"/>
              <w:rPr>
                <w:rFonts w:asciiTheme="minorEastAsia" w:hAnsiTheme="minorEastAsia"/>
                <w:sz w:val="18"/>
                <w:szCs w:val="18"/>
              </w:rPr>
            </w:pPr>
            <w:r>
              <w:rPr>
                <w:rFonts w:asciiTheme="minorEastAsia" w:hAnsiTheme="minorEastAsia"/>
                <w:sz w:val="18"/>
                <w:szCs w:val="18"/>
              </w:rPr>
              <w:t>3.09</w:t>
            </w: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73,044.68</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19.2</w:t>
            </w:r>
          </w:p>
        </w:tc>
        <w:tc>
          <w:tcPr>
            <w:tcW w:w="660" w:type="pct"/>
            <w:vAlign w:val="center"/>
          </w:tcPr>
          <w:p>
            <w:pPr>
              <w:jc w:val="center"/>
              <w:rPr>
                <w:rFonts w:asciiTheme="minorEastAsia" w:hAnsiTheme="minorEastAsia"/>
                <w:sz w:val="18"/>
                <w:szCs w:val="18"/>
              </w:rPr>
            </w:pPr>
            <w:r>
              <w:rPr>
                <w:rFonts w:hint="eastAsia" w:asciiTheme="minorEastAsia" w:hAnsiTheme="minorEastAsia"/>
                <w:sz w:val="18"/>
                <w:szCs w:val="18"/>
              </w:rPr>
              <w:t>281.10</w:t>
            </w:r>
          </w:p>
        </w:tc>
        <w:tc>
          <w:tcPr>
            <w:tcW w:w="792" w:type="pct"/>
            <w:vAlign w:val="center"/>
          </w:tcPr>
          <w:p>
            <w:pPr>
              <w:jc w:val="center"/>
              <w:rPr>
                <w:rFonts w:asciiTheme="minorEastAsia" w:hAnsiTheme="minorEastAsia"/>
                <w:sz w:val="18"/>
                <w:szCs w:val="18"/>
              </w:rPr>
            </w:pPr>
            <w:r>
              <w:rPr>
                <w:rFonts w:hint="eastAsia" w:asciiTheme="minorEastAsia" w:hAnsiTheme="minorEastAsia"/>
                <w:sz w:val="18"/>
                <w:szCs w:val="18"/>
              </w:rPr>
              <w:t>627.90</w:t>
            </w: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1,391.50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108.35</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1,285.20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2,679.40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1" w:type="pct"/>
            <w:vMerge w:val="continue"/>
            <w:vAlign w:val="center"/>
          </w:tcPr>
          <w:p>
            <w:pPr>
              <w:jc w:val="center"/>
              <w:rPr>
                <w:rFonts w:asciiTheme="minorEastAsia" w:hAnsiTheme="minorEastAsia"/>
                <w:sz w:val="18"/>
                <w:szCs w:val="18"/>
              </w:rPr>
            </w:pPr>
          </w:p>
        </w:tc>
        <w:tc>
          <w:tcPr>
            <w:tcW w:w="412" w:type="pct"/>
            <w:vMerge w:val="continue"/>
            <w:vAlign w:val="center"/>
          </w:tcPr>
          <w:p>
            <w:pPr>
              <w:jc w:val="center"/>
              <w:rPr>
                <w:rFonts w:asciiTheme="minorEastAsia" w:hAnsiTheme="minorEastAsia"/>
                <w:sz w:val="18"/>
                <w:szCs w:val="18"/>
              </w:rPr>
            </w:pPr>
          </w:p>
        </w:tc>
        <w:tc>
          <w:tcPr>
            <w:tcW w:w="576" w:type="pct"/>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vAlign w:val="center"/>
          </w:tcPr>
          <w:p>
            <w:pPr>
              <w:jc w:val="center"/>
              <w:rPr>
                <w:rFonts w:asciiTheme="minorEastAsia" w:hAnsiTheme="minorEastAsia"/>
                <w:sz w:val="18"/>
                <w:szCs w:val="18"/>
              </w:rPr>
            </w:pPr>
            <w:r>
              <w:rPr>
                <w:rFonts w:hint="eastAsia" w:asciiTheme="minorEastAsia" w:hAnsiTheme="minorEastAsia"/>
                <w:sz w:val="18"/>
                <w:szCs w:val="18"/>
              </w:rPr>
              <w:t>40.08</w:t>
            </w:r>
          </w:p>
        </w:tc>
        <w:tc>
          <w:tcPr>
            <w:tcW w:w="725" w:type="pct"/>
            <w:vAlign w:val="center"/>
          </w:tcPr>
          <w:p>
            <w:pPr>
              <w:jc w:val="center"/>
              <w:rPr>
                <w:rFonts w:asciiTheme="minorEastAsia" w:hAnsiTheme="minorEastAsia"/>
                <w:sz w:val="18"/>
                <w:szCs w:val="18"/>
              </w:rPr>
            </w:pPr>
            <w:r>
              <w:rPr>
                <w:rFonts w:hint="eastAsia" w:asciiTheme="minorEastAsia" w:hAnsiTheme="minorEastAsia"/>
                <w:sz w:val="18"/>
                <w:szCs w:val="18"/>
              </w:rPr>
              <w:t>2,546.80</w:t>
            </w:r>
          </w:p>
        </w:tc>
        <w:tc>
          <w:tcPr>
            <w:tcW w:w="660" w:type="pct"/>
            <w:vAlign w:val="center"/>
          </w:tcPr>
          <w:p>
            <w:pPr>
              <w:jc w:val="center"/>
              <w:rPr>
                <w:rFonts w:asciiTheme="minorEastAsia" w:hAnsiTheme="minorEastAsia"/>
                <w:sz w:val="18"/>
                <w:szCs w:val="18"/>
              </w:rPr>
            </w:pPr>
          </w:p>
        </w:tc>
        <w:tc>
          <w:tcPr>
            <w:tcW w:w="792" w:type="pct"/>
            <w:vAlign w:val="center"/>
          </w:tcPr>
          <w:p>
            <w:pPr>
              <w:jc w:val="center"/>
              <w:rPr>
                <w:rFonts w:asciiTheme="minorEastAsia" w:hAnsiTheme="minorEastAsia"/>
                <w:sz w:val="18"/>
                <w:szCs w:val="18"/>
              </w:rPr>
            </w:pPr>
          </w:p>
        </w:tc>
        <w:tc>
          <w:tcPr>
            <w:tcW w:w="659" w:type="pct"/>
            <w:vAlign w:val="center"/>
          </w:tcPr>
          <w:p>
            <w:pPr>
              <w:jc w:val="center"/>
              <w:rPr>
                <w:rFonts w:asciiTheme="minorEastAsia" w:hAnsiTheme="minorEastAsia"/>
                <w:sz w:val="18"/>
                <w:szCs w:val="18"/>
              </w:rPr>
            </w:pPr>
            <w:r>
              <w:rPr>
                <w:rFonts w:hint="eastAsia" w:asciiTheme="minorEastAsia" w:hAnsiTheme="minorEastAsia"/>
                <w:sz w:val="18"/>
                <w:szCs w:val="18"/>
              </w:rPr>
              <w:t>3,938.70</w:t>
            </w:r>
          </w:p>
        </w:tc>
      </w:tr>
    </w:tbl>
    <w:p>
      <w:pPr>
        <w:rPr>
          <w:rFonts w:asciiTheme="minorEastAsia" w:hAnsiTheme="minorEastAsia"/>
          <w:sz w:val="24"/>
        </w:rPr>
      </w:pPr>
      <w:r>
        <w:rPr>
          <w:rFonts w:asciiTheme="minorEastAsia" w:hAnsiTheme="minorEastAsia"/>
          <w:sz w:val="24"/>
        </w:rPr>
        <w:drawing>
          <wp:inline distT="0" distB="0" distL="0" distR="0">
            <wp:extent cx="5080000" cy="3143250"/>
            <wp:effectExtent l="12700" t="12700" r="12700" b="25400"/>
            <wp:docPr id="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1"/>
                    <pic:cNvPicPr>
                      <a:picLocks noChangeAspect="1" noChangeArrowheads="1"/>
                    </pic:cNvPicPr>
                  </pic:nvPicPr>
                  <pic:blipFill>
                    <a:blip r:embed="rId89" cstate="print"/>
                    <a:srcRect/>
                    <a:stretch>
                      <a:fillRect/>
                    </a:stretch>
                  </pic:blipFill>
                  <pic:spPr>
                    <a:xfrm>
                      <a:off x="0" y="0"/>
                      <a:ext cx="5080000" cy="3143250"/>
                    </a:xfrm>
                    <a:prstGeom prst="rect">
                      <a:avLst/>
                    </a:prstGeom>
                    <a:noFill/>
                    <a:ln w="12700" cmpd="sng">
                      <a:solidFill>
                        <a:srgbClr val="000000"/>
                      </a:solidFill>
                      <a:miter lim="800000"/>
                      <a:headEnd/>
                      <a:tailEnd/>
                    </a:ln>
                    <a:effectLst/>
                  </pic:spPr>
                </pic:pic>
              </a:graphicData>
            </a:graphic>
          </wp:inline>
        </w:drawing>
      </w:r>
    </w:p>
    <w:p>
      <w:pPr>
        <w:jc w:val="center"/>
        <w:rPr>
          <w:rFonts w:hint="default" w:ascii="Times New Roman" w:hAnsi="Times New Roman" w:cs="Times New Roman"/>
          <w:b/>
          <w:sz w:val="24"/>
          <w:szCs w:val="24"/>
        </w:rPr>
      </w:pPr>
      <w:r>
        <w:rPr>
          <w:rFonts w:hint="default" w:ascii="Times New Roman" w:hAnsi="Times New Roman" w:cs="Times New Roman"/>
          <w:b/>
          <w:sz w:val="24"/>
          <w:szCs w:val="24"/>
        </w:rPr>
        <w:t>图</w:t>
      </w:r>
      <w:r>
        <w:rPr>
          <w:rFonts w:hint="eastAsia" w:ascii="Times New Roman" w:hAnsi="Times New Roman" w:cs="Times New Roman"/>
          <w:b/>
          <w:sz w:val="24"/>
          <w:szCs w:val="24"/>
          <w:lang w:val="en-US" w:eastAsia="zh-CN"/>
        </w:rPr>
        <w:t>5</w:t>
      </w:r>
      <w:r>
        <w:rPr>
          <w:rFonts w:hint="default" w:ascii="Times New Roman" w:hAnsi="Times New Roman" w:cs="Times New Roman"/>
          <w:b/>
          <w:sz w:val="24"/>
          <w:szCs w:val="24"/>
          <w:lang w:val="en-US" w:eastAsia="zh-CN"/>
        </w:rPr>
        <w:t>.</w:t>
      </w:r>
      <w:r>
        <w:rPr>
          <w:rFonts w:hint="eastAsia" w:ascii="Times New Roman" w:hAnsi="Times New Roman" w:cs="Times New Roman"/>
          <w:b/>
          <w:sz w:val="24"/>
          <w:szCs w:val="24"/>
          <w:lang w:val="en-US" w:eastAsia="zh-CN"/>
        </w:rPr>
        <w:t>5</w:t>
      </w:r>
      <w:r>
        <w:rPr>
          <w:rFonts w:hint="default" w:ascii="Times New Roman" w:hAnsi="Times New Roman" w:cs="Times New Roman"/>
          <w:b/>
          <w:sz w:val="24"/>
          <w:szCs w:val="24"/>
          <w:lang w:val="en-US" w:eastAsia="zh-CN"/>
        </w:rPr>
        <w:t xml:space="preserve">-4   </w:t>
      </w:r>
      <w:r>
        <w:rPr>
          <w:rFonts w:hint="default" w:ascii="Times New Roman" w:hAnsi="Times New Roman" w:cs="Times New Roman"/>
          <w:b/>
          <w:sz w:val="24"/>
          <w:szCs w:val="24"/>
        </w:rPr>
        <w:t>液氨球罐泄漏氨气扩散影响预测（风速1.5m/s，F稳定度，10min）</w:t>
      </w:r>
    </w:p>
    <w:p>
      <w:pPr>
        <w:pStyle w:val="5"/>
        <w:bidi w:val="0"/>
        <w:rPr>
          <w:rFonts w:hint="eastAsia"/>
          <w:lang w:val="en-US" w:eastAsia="zh-CN"/>
        </w:rPr>
      </w:pPr>
      <w:bookmarkStart w:id="395" w:name="_Toc23568"/>
      <w:bookmarkStart w:id="396" w:name="_Toc9400"/>
      <w:r>
        <w:rPr>
          <w:rFonts w:hint="eastAsia"/>
          <w:lang w:val="en-US" w:eastAsia="zh-CN"/>
        </w:rPr>
        <w:t>5.5.4甲醇泄漏影响预测及后果分析</w:t>
      </w:r>
      <w:bookmarkEnd w:id="395"/>
      <w:bookmarkEnd w:id="396"/>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1</w:t>
      </w:r>
      <w:r>
        <w:rPr>
          <w:rFonts w:hint="eastAsia" w:asciiTheme="minorEastAsia" w:hAnsiTheme="minorEastAsia"/>
          <w:sz w:val="24"/>
          <w:lang w:eastAsia="zh-CN"/>
        </w:rPr>
        <w:t>）</w:t>
      </w:r>
      <w:r>
        <w:rPr>
          <w:rFonts w:asciiTheme="minorEastAsia" w:hAnsiTheme="minorEastAsia"/>
          <w:sz w:val="24"/>
        </w:rPr>
        <w:t>利用烟团模式计算各种污染物在事故发生后不同时间、不利气象条件下地面浓度、最大落地浓度和出现距离，确定各种污染物域值出现的范围，并对最不利气象条件下污染物扩散进行重点分析；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2</w:t>
      </w:r>
      <w:r>
        <w:rPr>
          <w:rFonts w:hint="eastAsia" w:asciiTheme="minorEastAsia" w:hAnsiTheme="minorEastAsia"/>
          <w:sz w:val="24"/>
          <w:lang w:eastAsia="zh-CN"/>
        </w:rPr>
        <w:t>）</w:t>
      </w:r>
      <w:r>
        <w:rPr>
          <w:rFonts w:asciiTheme="minorEastAsia" w:hAnsiTheme="minorEastAsia"/>
          <w:sz w:val="24"/>
        </w:rPr>
        <w:t>预测各风险因子LC50、IDLH浓度出现的时间及距离，并画出最大包络范围图。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3</w:t>
      </w:r>
      <w:r>
        <w:rPr>
          <w:rFonts w:hint="eastAsia" w:asciiTheme="minorEastAsia" w:hAnsiTheme="minorEastAsia"/>
          <w:sz w:val="24"/>
          <w:lang w:eastAsia="zh-CN"/>
        </w:rPr>
        <w:t>）</w:t>
      </w:r>
      <w:r>
        <w:rPr>
          <w:rFonts w:asciiTheme="minorEastAsia" w:hAnsiTheme="minorEastAsia"/>
          <w:sz w:val="24"/>
        </w:rPr>
        <w:t>预测模式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根据物质泄漏及有毒蒸汽释放的事故特点，采用《环境风险评价导则》推荐的多烟团叠加模式。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多烟团模式：</w:t>
      </w:r>
    </w:p>
    <w:p>
      <w:pPr>
        <w:rPr>
          <w:rFonts w:asciiTheme="minorEastAsia" w:hAnsiTheme="minorEastAsia"/>
          <w:sz w:val="24"/>
        </w:rPr>
      </w:pPr>
      <w:r>
        <w:rPr>
          <w:rFonts w:asciiTheme="minorEastAsia" w:hAnsiTheme="minorEastAsia"/>
          <w:sz w:val="24"/>
        </w:rPr>
        <w:pict>
          <v:shape id="_x0000_s1035" o:spid="_x0000_s1035" o:spt="75" type="#_x0000_t75" style="position:absolute;left:0pt;margin-left:243pt;margin-top:0.05pt;height:42pt;width:147pt;z-index:251675648;mso-width-relative:page;mso-height-relative:page;" o:ole="t" filled="f" o:preferrelative="t" stroked="f" coordsize="21600,21600">
            <v:path/>
            <v:fill on="f" focussize="0,0"/>
            <v:stroke on="f" joinstyle="miter"/>
            <v:imagedata r:id="rId47" o:title=""/>
            <o:lock v:ext="edit" aspectratio="t"/>
          </v:shape>
          <o:OLEObject Type="Embed" ProgID="Equation.3" ShapeID="_x0000_s1035" DrawAspect="Content" ObjectID="_1468075750" r:id="rId90">
            <o:LockedField>false</o:LockedField>
          </o:OLEObject>
        </w:pict>
      </w:r>
      <w:r>
        <w:rPr>
          <w:rFonts w:asciiTheme="minorEastAsia" w:hAnsiTheme="minorEastAsia"/>
          <w:sz w:val="24"/>
        </w:rPr>
        <w:pict>
          <v:shape id="_x0000_s1036" o:spid="_x0000_s1036" o:spt="75" type="#_x0000_t75" style="position:absolute;left:0pt;margin-left:27pt;margin-top:0.05pt;height:39.75pt;width:218.25pt;z-index:251676672;mso-width-relative:page;mso-height-relative:page;" o:ole="t" filled="f" o:preferrelative="t" stroked="f" coordsize="21600,21600">
            <v:path/>
            <v:fill on="f" focussize="0,0"/>
            <v:stroke on="f" joinstyle="miter"/>
            <v:imagedata r:id="rId49" o:title=""/>
            <o:lock v:ext="edit" aspectratio="t"/>
          </v:shape>
          <o:OLEObject Type="Embed" ProgID="Equation.3" ShapeID="_x0000_s1036" DrawAspect="Content" ObjectID="_1468075751" r:id="rId91">
            <o:LockedField>false</o:LockedField>
          </o:OLEObject>
        </w:pict>
      </w:r>
    </w:p>
    <w:p>
      <w:pPr>
        <w:rPr>
          <w:rFonts w:asciiTheme="minorEastAsia" w:hAnsiTheme="minorEastAsia"/>
          <w:sz w:val="24"/>
        </w:rPr>
      </w:pPr>
    </w:p>
    <w:p>
      <w:pPr>
        <w:rPr>
          <w:rFonts w:asciiTheme="minorEastAsia" w:hAnsiTheme="minorEastAsia"/>
          <w:sz w:val="24"/>
        </w:rPr>
      </w:pPr>
    </w:p>
    <w:p>
      <w:pPr>
        <w:rPr>
          <w:rFonts w:asciiTheme="minorEastAsia" w:hAnsiTheme="minorEastAsia"/>
          <w:sz w:val="24"/>
        </w:rPr>
      </w:pPr>
      <w:r>
        <w:rPr>
          <w:rFonts w:asciiTheme="minorEastAsia" w:hAnsiTheme="minorEastAsia"/>
          <w:sz w:val="24"/>
        </w:rPr>
        <w:t>式中：</w:t>
      </w:r>
      <w:r>
        <w:rPr>
          <w:rFonts w:asciiTheme="minorEastAsia" w:hAnsiTheme="minorEastAsia"/>
          <w:sz w:val="24"/>
        </w:rPr>
        <w:object>
          <v:shape id="_x0000_i1041" o:spt="75" type="#_x0000_t75" style="height:17.5pt;width:42.5pt;" o:ole="t" filled="f" o:preferrelative="t" stroked="f" coordsize="21600,21600">
            <v:path/>
            <v:fill on="f" focussize="0,0"/>
            <v:stroke on="f" joinstyle="miter"/>
            <v:imagedata r:id="rId51" o:title=""/>
            <o:lock v:ext="edit" aspectratio="t"/>
            <w10:wrap type="none"/>
            <w10:anchorlock/>
          </v:shape>
          <o:OLEObject Type="Embed" ProgID="Equation.3" ShapeID="_x0000_i1041" DrawAspect="Content" ObjectID="_1468075752" r:id="rId92">
            <o:LockedField>false</o:LockedField>
          </o:OLEObject>
        </w:object>
      </w:r>
      <w:r>
        <w:rPr>
          <w:rFonts w:asciiTheme="minorEastAsia" w:hAnsiTheme="minorEastAsia"/>
          <w:sz w:val="24"/>
        </w:rPr>
        <w:t>－下风向地面</w:t>
      </w:r>
      <w:r>
        <w:rPr>
          <w:rFonts w:asciiTheme="minorEastAsia" w:hAnsiTheme="minorEastAsia"/>
          <w:sz w:val="24"/>
        </w:rPr>
        <w:object>
          <v:shape id="_x0000_i1042" o:spt="75" type="#_x0000_t75" style="height:17.5pt;width:28pt;" o:ole="t" filled="f" o:preferrelative="t" stroked="f" coordsize="21600,21600">
            <v:path/>
            <v:fill on="f" focussize="0,0"/>
            <v:stroke on="f" joinstyle="miter"/>
            <v:imagedata r:id="rId53" o:title=""/>
            <o:lock v:ext="edit" aspectratio="t"/>
            <w10:wrap type="none"/>
            <w10:anchorlock/>
          </v:shape>
          <o:OLEObject Type="Embed" ProgID="Equation.3" ShapeID="_x0000_i1042" DrawAspect="Content" ObjectID="_1468075753" r:id="rId93">
            <o:LockedField>false</o:LockedField>
          </o:OLEObject>
        </w:object>
      </w:r>
      <w:r>
        <w:rPr>
          <w:rFonts w:asciiTheme="minorEastAsia" w:hAnsiTheme="minorEastAsia"/>
          <w:sz w:val="24"/>
        </w:rPr>
        <w:t>坐标处的空气中污染物浓度；</w:t>
      </w:r>
    </w:p>
    <w:p>
      <w:pPr>
        <w:rPr>
          <w:rFonts w:asciiTheme="minorEastAsia" w:hAnsiTheme="minorEastAsia"/>
          <w:sz w:val="24"/>
        </w:rPr>
      </w:pPr>
      <w:r>
        <w:rPr>
          <w:rFonts w:asciiTheme="minorEastAsia" w:hAnsiTheme="minorEastAsia"/>
          <w:sz w:val="24"/>
        </w:rPr>
        <w:object>
          <v:shape id="_x0000_i1043" o:spt="75" type="#_x0000_t75" style="height:18pt;width:46pt;" o:ole="t" filled="f" o:preferrelative="t" stroked="f" coordsize="21600,21600">
            <v:path/>
            <v:fill on="f" focussize="0,0"/>
            <v:stroke on="f" joinstyle="miter"/>
            <v:imagedata r:id="rId55" o:title=""/>
            <o:lock v:ext="edit" aspectratio="t"/>
            <w10:wrap type="none"/>
            <w10:anchorlock/>
          </v:shape>
          <o:OLEObject Type="Embed" ProgID="Equation.3" ShapeID="_x0000_i1043" DrawAspect="Content" ObjectID="_1468075754" r:id="rId94">
            <o:LockedField>false</o:LockedField>
          </o:OLEObject>
        </w:object>
      </w:r>
      <w:r>
        <w:rPr>
          <w:rFonts w:asciiTheme="minorEastAsia" w:hAnsiTheme="minorEastAsia"/>
          <w:sz w:val="24"/>
        </w:rPr>
        <w:t>－烟团中心坐标；</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Q－事故期间烟团的排放量。</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对于瞬时或短时间事故，采用下述变天条件下多烟团模式：</w:t>
      </w:r>
    </w:p>
    <w:p>
      <w:pPr>
        <w:rPr>
          <w:rFonts w:asciiTheme="minorEastAsia" w:hAnsiTheme="minorEastAsia"/>
          <w:sz w:val="24"/>
        </w:rPr>
      </w:pPr>
      <w:r>
        <w:rPr>
          <w:rFonts w:asciiTheme="minorEastAsia" w:hAnsiTheme="minorEastAsia"/>
          <w:sz w:val="24"/>
        </w:rPr>
        <w:pict>
          <v:shape id="_x0000_s1037" o:spid="_x0000_s1037" o:spt="75" type="#_x0000_t75" style="position:absolute;left:0pt;margin-left:0pt;margin-top:0pt;height:34.1pt;width:405pt;mso-wrap-distance-bottom:0pt;mso-wrap-distance-top:0pt;z-index:251674624;mso-width-relative:page;mso-height-relative:page;" o:ole="t" filled="f" o:preferrelative="t" stroked="f" coordsize="21600,21600">
            <v:path/>
            <v:fill on="f" focussize="0,0"/>
            <v:stroke on="f" joinstyle="miter"/>
            <v:imagedata r:id="rId57" o:title=""/>
            <o:lock v:ext="edit" aspectratio="t"/>
            <w10:wrap type="topAndBottom"/>
          </v:shape>
          <o:OLEObject Type="Embed" ProgID="Equation.3" ShapeID="_x0000_s1037" DrawAspect="Content" ObjectID="_1468075755" r:id="rId95">
            <o:LockedField>false</o:LockedField>
          </o:OLEObject>
        </w:pict>
      </w:r>
      <w:r>
        <w:rPr>
          <w:rFonts w:asciiTheme="minorEastAsia" w:hAnsiTheme="minorEastAsia"/>
          <w:sz w:val="24"/>
        </w:rPr>
        <w:t>式中：</w:t>
      </w:r>
      <w:r>
        <w:rPr>
          <w:rFonts w:asciiTheme="minorEastAsia" w:hAnsiTheme="minorEastAsia"/>
          <w:sz w:val="24"/>
        </w:rPr>
        <w:drawing>
          <wp:inline distT="0" distB="0" distL="0" distR="0">
            <wp:extent cx="863600" cy="241300"/>
            <wp:effectExtent l="0" t="0" r="12700" b="571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58" cstate="print"/>
                    <a:srcRect/>
                    <a:stretch>
                      <a:fillRect/>
                    </a:stretch>
                  </pic:blipFill>
                  <pic:spPr>
                    <a:xfrm>
                      <a:off x="0" y="0"/>
                      <a:ext cx="8636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第i个烟团在tw时刻·（即第w时段）在点(x,y,0)产生的地面浓度；</w:t>
      </w:r>
    </w:p>
    <w:p>
      <w:pPr>
        <w:rPr>
          <w:rFonts w:asciiTheme="minorEastAsia" w:hAnsiTheme="minorEastAsia"/>
          <w:sz w:val="24"/>
        </w:rPr>
      </w:pPr>
      <w:r>
        <w:rPr>
          <w:rFonts w:asciiTheme="minorEastAsia" w:hAnsiTheme="minorEastAsia"/>
          <w:sz w:val="24"/>
        </w:rPr>
        <w:drawing>
          <wp:inline distT="0" distB="0" distL="0" distR="0">
            <wp:extent cx="342900" cy="241300"/>
            <wp:effectExtent l="0" t="0" r="0" b="444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59"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42900" cy="241300"/>
            <wp:effectExtent l="0" t="0" r="0" b="444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60"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30200" cy="241300"/>
            <wp:effectExtent l="0" t="0" r="0" b="444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61" cstate="print"/>
                    <a:srcRect/>
                    <a:stretch>
                      <a:fillRect/>
                    </a:stretch>
                  </pic:blipFill>
                  <pic:spPr>
                    <a:xfrm>
                      <a:off x="0" y="0"/>
                      <a:ext cx="330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烟团在w时段沿x、y和z方向的等效扩散参数（m），可由下式估算：</w:t>
      </w:r>
    </w:p>
    <w:p>
      <w:pPr>
        <w:rPr>
          <w:rFonts w:asciiTheme="minorEastAsia" w:hAnsiTheme="minorEastAsia"/>
          <w:sz w:val="24"/>
        </w:rPr>
      </w:pPr>
      <w:r>
        <w:rPr>
          <w:rFonts w:asciiTheme="minorEastAsia" w:hAnsiTheme="minorEastAsia"/>
          <w:sz w:val="24"/>
        </w:rPr>
        <w:drawing>
          <wp:inline distT="0" distB="0" distL="0" distR="0">
            <wp:extent cx="2368550" cy="488950"/>
            <wp:effectExtent l="0" t="0" r="12700" b="508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62" cstate="print"/>
                    <a:srcRect/>
                    <a:stretch>
                      <a:fillRect/>
                    </a:stretch>
                  </pic:blipFill>
                  <pic:spPr>
                    <a:xfrm>
                      <a:off x="0" y="0"/>
                      <a:ext cx="2368550" cy="48895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w:t>
      </w:r>
    </w:p>
    <w:p>
      <w:pPr>
        <w:rPr>
          <w:rFonts w:asciiTheme="minorEastAsia" w:hAnsiTheme="minorEastAsia"/>
          <w:sz w:val="24"/>
        </w:rPr>
      </w:pPr>
      <w:r>
        <w:rPr>
          <w:rFonts w:asciiTheme="minorEastAsia" w:hAnsiTheme="minorEastAsia"/>
          <w:sz w:val="24"/>
        </w:rPr>
        <w:drawing>
          <wp:inline distT="0" distB="0" distL="0" distR="0">
            <wp:extent cx="1746250" cy="30480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63" cstate="print"/>
                    <a:srcRect/>
                    <a:stretch>
                      <a:fillRect/>
                    </a:stretch>
                  </pic:blipFill>
                  <pic:spPr>
                    <a:xfrm>
                      <a:off x="0" y="0"/>
                      <a:ext cx="1746250" cy="3048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扩散因子，对tw时段的事故按下式计算：</w:t>
      </w:r>
    </w:p>
    <w:p>
      <w:pPr>
        <w:rPr>
          <w:rFonts w:asciiTheme="minorEastAsia" w:hAnsiTheme="minorEastAsia"/>
          <w:sz w:val="24"/>
        </w:rPr>
      </w:pPr>
      <w:r>
        <w:rPr>
          <w:rFonts w:asciiTheme="minorEastAsia" w:hAnsiTheme="minorEastAsia"/>
          <w:sz w:val="24"/>
        </w:rPr>
        <w:t>式中：</w:t>
      </w:r>
      <w:r>
        <w:rPr>
          <w:rFonts w:asciiTheme="minorEastAsia" w:hAnsiTheme="minorEastAsia"/>
          <w:sz w:val="24"/>
        </w:rPr>
        <w:drawing>
          <wp:inline distT="0" distB="0" distL="0" distR="0">
            <wp:extent cx="177800" cy="228600"/>
            <wp:effectExtent l="0" t="0" r="1270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64" cstate="print"/>
                    <a:srcRect/>
                    <a:stretch>
                      <a:fillRect/>
                    </a:stretch>
                  </pic:blipFill>
                  <pic:spPr>
                    <a:xfrm>
                      <a:off x="0" y="0"/>
                      <a:ext cx="177800" cy="2286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烟团排放量，</w:t>
      </w:r>
      <w:r>
        <w:rPr>
          <w:rFonts w:asciiTheme="minorEastAsia" w:hAnsiTheme="minorEastAsia"/>
          <w:sz w:val="24"/>
        </w:rPr>
        <w:drawing>
          <wp:inline distT="0" distB="0" distL="0" distR="0">
            <wp:extent cx="609600" cy="2286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65" cstate="print"/>
                    <a:srcRect/>
                    <a:stretch>
                      <a:fillRect/>
                    </a:stretch>
                  </pic:blipFill>
                  <pic:spPr>
                    <a:xfrm>
                      <a:off x="0" y="0"/>
                      <a:ext cx="609600" cy="2286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152400" cy="203200"/>
            <wp:effectExtent l="0" t="0" r="0" b="444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66" cstate="print"/>
                    <a:srcRect/>
                    <a:stretch>
                      <a:fillRect/>
                    </a:stretch>
                  </pic:blipFill>
                  <pic:spPr>
                    <a:xfrm>
                      <a:off x="0" y="0"/>
                      <a:ext cx="152400" cy="203200"/>
                    </a:xfrm>
                    <a:prstGeom prst="rect">
                      <a:avLst/>
                    </a:prstGeom>
                    <a:noFill/>
                    <a:ln w="9525">
                      <a:noFill/>
                      <a:miter lim="800000"/>
                      <a:headEnd/>
                      <a:tailEnd/>
                    </a:ln>
                  </pic:spPr>
                </pic:pic>
              </a:graphicData>
            </a:graphic>
          </wp:inline>
        </w:drawing>
      </w:r>
      <w:r>
        <w:rPr>
          <w:rFonts w:asciiTheme="minorEastAsia" w:hAnsiTheme="minorEastAsia"/>
          <w:sz w:val="24"/>
        </w:rPr>
        <w:t>为释放率，</w:t>
      </w:r>
      <w:r>
        <w:rPr>
          <w:rFonts w:asciiTheme="minorEastAsia" w:hAnsiTheme="minorEastAsia"/>
          <w:sz w:val="24"/>
        </w:rPr>
        <w:drawing>
          <wp:inline distT="0" distB="0" distL="0" distR="0">
            <wp:extent cx="190500" cy="177800"/>
            <wp:effectExtent l="0" t="0" r="0" b="1333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67" cstate="print"/>
                    <a:srcRect/>
                    <a:stretch>
                      <a:fillRect/>
                    </a:stretch>
                  </pic:blipFill>
                  <pic:spPr>
                    <a:xfrm>
                      <a:off x="0" y="0"/>
                      <a:ext cx="190500" cy="177800"/>
                    </a:xfrm>
                    <a:prstGeom prst="rect">
                      <a:avLst/>
                    </a:prstGeom>
                    <a:noFill/>
                    <a:ln w="9525">
                      <a:noFill/>
                      <a:miter lim="800000"/>
                      <a:headEnd/>
                      <a:tailEnd/>
                    </a:ln>
                  </pic:spPr>
                </pic:pic>
              </a:graphicData>
            </a:graphic>
          </wp:inline>
        </w:drawing>
      </w:r>
      <w:r>
        <w:rPr>
          <w:rFonts w:asciiTheme="minorEastAsia" w:hAnsiTheme="minorEastAsia"/>
          <w:sz w:val="24"/>
        </w:rPr>
        <w:t>为时段长度；</w:t>
      </w:r>
    </w:p>
    <w:p>
      <w:pPr>
        <w:rPr>
          <w:rFonts w:asciiTheme="minorEastAsia" w:hAnsiTheme="minorEastAsia"/>
          <w:sz w:val="24"/>
        </w:rPr>
      </w:pPr>
      <w:r>
        <w:rPr>
          <w:rFonts w:asciiTheme="minorEastAsia" w:hAnsiTheme="minorEastAsia"/>
          <w:sz w:val="24"/>
        </w:rPr>
        <w:drawing>
          <wp:inline distT="0" distB="0" distL="0" distR="0">
            <wp:extent cx="190500" cy="241300"/>
            <wp:effectExtent l="0" t="0" r="0" b="508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68" cstate="print"/>
                    <a:srcRect/>
                    <a:stretch>
                      <a:fillRect/>
                    </a:stretch>
                  </pic:blipFill>
                  <pic:spPr>
                    <a:xfrm>
                      <a:off x="0" y="0"/>
                      <a:ext cx="190500" cy="241300"/>
                    </a:xfrm>
                    <a:prstGeom prst="rect">
                      <a:avLst/>
                    </a:prstGeom>
                    <a:noFill/>
                    <a:ln w="9525">
                      <a:noFill/>
                      <a:miter lim="800000"/>
                      <a:headEnd/>
                      <a:tailEnd/>
                    </a:ln>
                  </pic:spPr>
                </pic:pic>
              </a:graphicData>
            </a:graphic>
          </wp:inline>
        </w:drawing>
      </w:r>
      <w:r>
        <w:rPr>
          <w:rFonts w:asciiTheme="minorEastAsia" w:hAnsiTheme="minorEastAsia"/>
          <w:sz w:val="24"/>
        </w:rPr>
        <w:t>和</w:t>
      </w:r>
      <w:r>
        <w:rPr>
          <w:rFonts w:asciiTheme="minorEastAsia" w:hAnsiTheme="minorEastAsia"/>
          <w:sz w:val="24"/>
        </w:rPr>
        <w:drawing>
          <wp:inline distT="0" distB="0" distL="0" distR="0">
            <wp:extent cx="203200" cy="241300"/>
            <wp:effectExtent l="0" t="0" r="6350" b="508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69" cstate="print"/>
                    <a:srcRect/>
                    <a:stretch>
                      <a:fillRect/>
                    </a:stretch>
                  </pic:blipFill>
                  <pic:spPr>
                    <a:xfrm>
                      <a:off x="0" y="0"/>
                      <a:ext cx="203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第w时段结束时第i烟团质心的x和y坐标，由下述两式计算：</w:t>
      </w:r>
    </w:p>
    <w:p>
      <w:pPr>
        <w:rPr>
          <w:rFonts w:asciiTheme="minorEastAsia" w:hAnsiTheme="minorEastAsia"/>
          <w:sz w:val="24"/>
        </w:rPr>
      </w:pPr>
      <w:r>
        <w:rPr>
          <w:rFonts w:asciiTheme="minorEastAsia" w:hAnsiTheme="minorEastAsia"/>
          <w:sz w:val="24"/>
        </w:rPr>
        <w:drawing>
          <wp:inline distT="0" distB="0" distL="0" distR="0">
            <wp:extent cx="2482850" cy="4762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70" cstate="print"/>
                    <a:srcRect/>
                    <a:stretch>
                      <a:fillRect/>
                    </a:stretch>
                  </pic:blipFill>
                  <pic:spPr>
                    <a:xfrm>
                      <a:off x="0" y="0"/>
                      <a:ext cx="2482850" cy="47625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drawing>
          <wp:inline distT="0" distB="0" distL="0" distR="0">
            <wp:extent cx="2482850" cy="469900"/>
            <wp:effectExtent l="0" t="0" r="12700" b="508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71" cstate="print"/>
                    <a:srcRect/>
                    <a:stretch>
                      <a:fillRect/>
                    </a:stretch>
                  </pic:blipFill>
                  <pic:spPr>
                    <a:xfrm>
                      <a:off x="0" y="0"/>
                      <a:ext cx="2482850" cy="46990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t>各个烟团对某个关心点t小时的浓度贡献，按下式计算：</w:t>
      </w:r>
    </w:p>
    <w:p>
      <w:pPr>
        <w:rPr>
          <w:rFonts w:asciiTheme="minorEastAsia" w:hAnsiTheme="minorEastAsia"/>
          <w:sz w:val="24"/>
        </w:rPr>
      </w:pPr>
      <w:r>
        <w:rPr>
          <w:rFonts w:asciiTheme="minorEastAsia" w:hAnsiTheme="minorEastAsia"/>
          <w:sz w:val="24"/>
        </w:rPr>
        <w:drawing>
          <wp:inline distT="0" distB="0" distL="0" distR="0">
            <wp:extent cx="2025650" cy="49530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72" cstate="print"/>
                    <a:srcRect/>
                    <a:stretch>
                      <a:fillRect/>
                    </a:stretch>
                  </pic:blipFill>
                  <pic:spPr>
                    <a:xfrm>
                      <a:off x="0" y="0"/>
                      <a:ext cx="2025650" cy="4953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式中：n－需要跟踪的烟团数，可由下式确定：</w:t>
      </w:r>
    </w:p>
    <w:p>
      <w:pPr>
        <w:rPr>
          <w:rFonts w:asciiTheme="minorEastAsia" w:hAnsiTheme="minorEastAsia"/>
          <w:sz w:val="24"/>
        </w:rPr>
      </w:pPr>
      <w:r>
        <w:rPr>
          <w:rFonts w:asciiTheme="minorEastAsia" w:hAnsiTheme="minorEastAsia"/>
          <w:sz w:val="24"/>
        </w:rPr>
        <w:drawing>
          <wp:inline distT="0" distB="0" distL="0" distR="0">
            <wp:extent cx="2254250" cy="488950"/>
            <wp:effectExtent l="0" t="0" r="12700" b="508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73" cstate="print"/>
                    <a:srcRect/>
                    <a:stretch>
                      <a:fillRect/>
                    </a:stretch>
                  </pic:blipFill>
                  <pic:spPr>
                    <a:xfrm>
                      <a:off x="0" y="0"/>
                      <a:ext cx="2254250" cy="488950"/>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f为小于1的系数，可根据计算要求确定。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4</w:t>
      </w:r>
      <w:r>
        <w:rPr>
          <w:rFonts w:hint="default" w:ascii="Times New Roman" w:hAnsi="Times New Roman" w:cs="Times New Roman"/>
          <w:sz w:val="24"/>
          <w:lang w:eastAsia="zh-CN"/>
        </w:rPr>
        <w:t>）</w:t>
      </w:r>
      <w:r>
        <w:rPr>
          <w:rFonts w:hint="default" w:ascii="Times New Roman" w:hAnsi="Times New Roman" w:cs="Times New Roman"/>
          <w:sz w:val="24"/>
        </w:rPr>
        <w:t>气象条件选择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rPr>
        <w:t>分别对B、D、F三个稳定度静风（0.5 m/s）、小风（1.5 m/s）、多年平均风速（2.02m/s）、风速（3.09m/s）四个代表性风速条件下，以事故发生时</w:t>
      </w:r>
      <w:r>
        <w:rPr>
          <w:rFonts w:hint="default" w:ascii="Times New Roman" w:hAnsi="Times New Roman" w:cs="Times New Roman"/>
          <w:sz w:val="24"/>
          <w:szCs w:val="24"/>
        </w:rPr>
        <w:t>污染物轴线最大落地浓度作为评价标准，比较分析事故的影响范围，选取对环境影响最大的气象条件作为风险预测的气象条件。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5</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危害后果分析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假定事故在30min内得到控制，事故发生后10min，20min和30min不同气象条件下甲醇储罐泄露对下风向的影响见表</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。由表</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rPr>
        <w:t>可知，下风向未出现半致死浓度范围；在2.02m/s、F稳定度气象条件下事故发生10min后，下风向甲醇落地浓度超过居住区容许浓度范围的距离为246.6m。</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w:t>
      </w:r>
      <w:r>
        <w:rPr>
          <w:rFonts w:hint="eastAsia" w:ascii="Times New Roman" w:hAnsi="Times New Roman" w:eastAsia="宋体" w:cs="Times New Roman"/>
          <w:b/>
          <w:sz w:val="24"/>
          <w:szCs w:val="24"/>
          <w:lang w:val="en-US" w:eastAsia="zh-CN"/>
        </w:rPr>
        <w:t>5</w:t>
      </w:r>
      <w:r>
        <w:rPr>
          <w:rFonts w:hint="default" w:ascii="Times New Roman" w:hAnsi="Times New Roman" w:eastAsia="宋体" w:cs="Times New Roman"/>
          <w:b/>
          <w:sz w:val="24"/>
          <w:szCs w:val="24"/>
          <w:lang w:val="en-US" w:eastAsia="zh-CN"/>
        </w:rPr>
        <w:t>.</w:t>
      </w:r>
      <w:r>
        <w:rPr>
          <w:rFonts w:hint="eastAsia" w:ascii="Times New Roman" w:hAnsi="Times New Roman" w:eastAsia="宋体" w:cs="Times New Roman"/>
          <w:b/>
          <w:sz w:val="24"/>
          <w:szCs w:val="24"/>
          <w:lang w:val="en-US" w:eastAsia="zh-CN"/>
        </w:rPr>
        <w:t>5</w:t>
      </w:r>
      <w:r>
        <w:rPr>
          <w:rFonts w:hint="default" w:ascii="Times New Roman" w:hAnsi="Times New Roman" w:eastAsia="宋体" w:cs="Times New Roman"/>
          <w:b/>
          <w:sz w:val="24"/>
          <w:szCs w:val="24"/>
          <w:lang w:val="en-US" w:eastAsia="zh-CN"/>
        </w:rPr>
        <w:t xml:space="preserve">-5   </w:t>
      </w:r>
      <w:r>
        <w:rPr>
          <w:rFonts w:hint="default" w:ascii="Times New Roman" w:hAnsi="Times New Roman" w:eastAsia="宋体" w:cs="Times New Roman"/>
          <w:b/>
          <w:sz w:val="24"/>
          <w:szCs w:val="24"/>
        </w:rPr>
        <w:t>甲醇罐泄漏氨气最大落地浓度以及事故后果分析</w:t>
      </w:r>
    </w:p>
    <w:tbl>
      <w:tblPr>
        <w:tblStyle w:val="21"/>
        <w:tblW w:w="5000"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696"/>
        <w:gridCol w:w="696"/>
        <w:gridCol w:w="1022"/>
        <w:gridCol w:w="1293"/>
        <w:gridCol w:w="1232"/>
        <w:gridCol w:w="1120"/>
        <w:gridCol w:w="1345"/>
        <w:gridCol w:w="1118"/>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稳定度</w:t>
            </w:r>
          </w:p>
        </w:tc>
        <w:tc>
          <w:tcPr>
            <w:tcW w:w="41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风速</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预测时刻（min）</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最大落地浓度mg/m</w:t>
            </w:r>
            <w:r>
              <w:rPr>
                <w:rFonts w:hint="default" w:ascii="Times New Roman" w:hAnsi="Times New Roman" w:eastAsia="宋体" w:cs="Times New Roman"/>
                <w:sz w:val="21"/>
                <w:szCs w:val="21"/>
                <w:vertAlign w:val="superscript"/>
              </w:rPr>
              <w:t>3</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出现距离（m）</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半致死浓度范围（m）</w:t>
            </w:r>
          </w:p>
        </w:tc>
        <w:tc>
          <w:tcPr>
            <w:tcW w:w="79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立即威胁生命和健康浓度（m）</w:t>
            </w: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居住区最高允许浓度（m）</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43"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B</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静风</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245.7853</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3.9</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5"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0.0216</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283</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0.004</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529.8</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静风</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3,287.39</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3.3</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21.4</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0.4389</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233.9</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0.0827</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438.2</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F</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静风</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2,245.98</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3.8</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34.2</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1.4506</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212.7</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0.2735</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398.5</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B</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1,976.55</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10.2</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1.7215</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781.9</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0.4395</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1,505.60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5,226.53</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98.9</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9.67</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656.4</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2.8746</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1,289.40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F</w:t>
            </w:r>
          </w:p>
        </w:tc>
        <w:tc>
          <w:tcPr>
            <w:tcW w:w="412" w:type="pct"/>
            <w:vMerge w:val="restar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w:t>
            </w:r>
          </w:p>
        </w:tc>
        <w:tc>
          <w:tcPr>
            <w:tcW w:w="577" w:type="pc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13,254.57</w:t>
            </w:r>
          </w:p>
        </w:tc>
        <w:tc>
          <w:tcPr>
            <w:tcW w:w="726"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8.4</w:t>
            </w:r>
          </w:p>
        </w:tc>
        <w:tc>
          <w:tcPr>
            <w:tcW w:w="660"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p>
        </w:tc>
        <w:tc>
          <w:tcPr>
            <w:tcW w:w="792"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p>
        </w:tc>
        <w:tc>
          <w:tcPr>
            <w:tcW w:w="659"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577" w:type="pc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78.3254</w:t>
            </w:r>
          </w:p>
        </w:tc>
        <w:tc>
          <w:tcPr>
            <w:tcW w:w="726"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574.1</w:t>
            </w:r>
          </w:p>
        </w:tc>
        <w:tc>
          <w:tcPr>
            <w:tcW w:w="660"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p>
        </w:tc>
        <w:tc>
          <w:tcPr>
            <w:tcW w:w="792"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p>
        </w:tc>
        <w:tc>
          <w:tcPr>
            <w:tcW w:w="659"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shd w:val="clear" w:color="auto" w:fill="auto"/>
            <w:vAlign w:val="center"/>
          </w:tcPr>
          <w:p>
            <w:pPr>
              <w:jc w:val="center"/>
              <w:rPr>
                <w:rFonts w:hint="default" w:ascii="Times New Roman" w:hAnsi="Times New Roman" w:eastAsia="宋体" w:cs="Times New Roman"/>
                <w:sz w:val="21"/>
                <w:szCs w:val="21"/>
              </w:rPr>
            </w:pPr>
          </w:p>
        </w:tc>
        <w:tc>
          <w:tcPr>
            <w:tcW w:w="577" w:type="pct"/>
            <w:tcBorders>
              <w:tl2br w:val="nil"/>
              <w:tr2bl w:val="nil"/>
            </w:tcBorders>
            <w:shd w:val="clear" w:color="auto"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27.5214</w:t>
            </w:r>
          </w:p>
        </w:tc>
        <w:tc>
          <w:tcPr>
            <w:tcW w:w="726"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1,143.60</w:t>
            </w:r>
          </w:p>
        </w:tc>
        <w:tc>
          <w:tcPr>
            <w:tcW w:w="660"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p>
        </w:tc>
        <w:tc>
          <w:tcPr>
            <w:tcW w:w="792"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p>
        </w:tc>
        <w:tc>
          <w:tcPr>
            <w:tcW w:w="659" w:type="pct"/>
            <w:tcBorders>
              <w:tl2br w:val="nil"/>
              <w:tr2bl w:val="nil"/>
            </w:tcBorders>
            <w:shd w:val="clear" w:color="FFFF00" w:fill="auto"/>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B</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1,648.26</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13.6</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50.1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0.954</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1,059.30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0.2476</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2,037.30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4,576.98</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12.1</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94.6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5.3731</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882.2</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1.6097</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1,736.70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F</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2.02</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12,517.93</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11.3</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246.6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45.2753</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771.1</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16.7624</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1,535.70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B</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3.09</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1,099.48</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20.7</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48.3</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0.4011</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1,622.20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0.1045</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3,135.60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D</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3.09</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3,443.21</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18.4</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89.1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2.3524</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1,349.30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0.7044</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2,656.20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F</w:t>
            </w:r>
          </w:p>
        </w:tc>
        <w:tc>
          <w:tcPr>
            <w:tcW w:w="412" w:type="pct"/>
            <w:vMerge w:val="restar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3.09</w:t>
            </w: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11,324.52</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17.3</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232.6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22.2018</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1,182.20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284" w:hRule="atLeast"/>
          <w:jc w:val="center"/>
        </w:trPr>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412" w:type="pct"/>
            <w:vMerge w:val="continue"/>
            <w:tcBorders>
              <w:tl2br w:val="nil"/>
              <w:tr2bl w:val="nil"/>
            </w:tcBorders>
            <w:vAlign w:val="center"/>
          </w:tcPr>
          <w:p>
            <w:pPr>
              <w:jc w:val="center"/>
              <w:rPr>
                <w:rFonts w:hint="default" w:ascii="Times New Roman" w:hAnsi="Times New Roman" w:eastAsia="宋体" w:cs="Times New Roman"/>
                <w:sz w:val="21"/>
                <w:szCs w:val="21"/>
              </w:rPr>
            </w:pPr>
          </w:p>
        </w:tc>
        <w:tc>
          <w:tcPr>
            <w:tcW w:w="577"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30</w:t>
            </w:r>
          </w:p>
        </w:tc>
        <w:tc>
          <w:tcPr>
            <w:tcW w:w="762"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8.582</w:t>
            </w:r>
          </w:p>
        </w:tc>
        <w:tc>
          <w:tcPr>
            <w:tcW w:w="726" w:type="pct"/>
            <w:tcBorders>
              <w:tl2br w:val="nil"/>
              <w:tr2bl w:val="nil"/>
            </w:tcBorders>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2,340.30</w:t>
            </w:r>
          </w:p>
        </w:tc>
        <w:tc>
          <w:tcPr>
            <w:tcW w:w="660" w:type="pct"/>
            <w:tcBorders>
              <w:tl2br w:val="nil"/>
              <w:tr2bl w:val="nil"/>
            </w:tcBorders>
            <w:vAlign w:val="center"/>
          </w:tcPr>
          <w:p>
            <w:pPr>
              <w:jc w:val="center"/>
              <w:rPr>
                <w:rFonts w:hint="default" w:ascii="Times New Roman" w:hAnsi="Times New Roman" w:eastAsia="宋体" w:cs="Times New Roman"/>
                <w:sz w:val="21"/>
                <w:szCs w:val="21"/>
              </w:rPr>
            </w:pPr>
          </w:p>
        </w:tc>
        <w:tc>
          <w:tcPr>
            <w:tcW w:w="792" w:type="pct"/>
            <w:tcBorders>
              <w:tl2br w:val="nil"/>
              <w:tr2bl w:val="nil"/>
            </w:tcBorders>
            <w:vAlign w:val="center"/>
          </w:tcPr>
          <w:p>
            <w:pPr>
              <w:jc w:val="center"/>
              <w:rPr>
                <w:rFonts w:hint="default" w:ascii="Times New Roman" w:hAnsi="Times New Roman" w:eastAsia="宋体" w:cs="Times New Roman"/>
                <w:sz w:val="21"/>
                <w:szCs w:val="21"/>
              </w:rPr>
            </w:pPr>
          </w:p>
        </w:tc>
        <w:tc>
          <w:tcPr>
            <w:tcW w:w="659" w:type="pct"/>
            <w:tcBorders>
              <w:tl2br w:val="nil"/>
              <w:tr2bl w:val="nil"/>
            </w:tcBorders>
            <w:vAlign w:val="center"/>
          </w:tcPr>
          <w:p>
            <w:pPr>
              <w:jc w:val="center"/>
              <w:rPr>
                <w:rFonts w:hint="default" w:ascii="Times New Roman" w:hAnsi="Times New Roman" w:eastAsia="宋体" w:cs="Times New Roman"/>
                <w:sz w:val="21"/>
                <w:szCs w:val="21"/>
              </w:rPr>
            </w:pPr>
          </w:p>
        </w:tc>
      </w:tr>
    </w:tbl>
    <w:p>
      <w:pPr>
        <w:pStyle w:val="5"/>
        <w:bidi w:val="0"/>
        <w:rPr>
          <w:rFonts w:hint="eastAsia"/>
          <w:lang w:val="en-US" w:eastAsia="zh-CN"/>
        </w:rPr>
      </w:pPr>
      <w:bookmarkStart w:id="397" w:name="_Toc6678"/>
      <w:bookmarkStart w:id="398" w:name="_Toc9055"/>
      <w:r>
        <w:rPr>
          <w:rFonts w:hint="eastAsia"/>
          <w:lang w:val="en-US" w:eastAsia="zh-CN"/>
        </w:rPr>
        <w:t>5.5.5硫磺回收装置故障预测及后果分析</w:t>
      </w:r>
      <w:bookmarkEnd w:id="397"/>
      <w:bookmarkEnd w:id="398"/>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1</w:t>
      </w:r>
      <w:r>
        <w:rPr>
          <w:rFonts w:hint="eastAsia" w:asciiTheme="minorEastAsia" w:hAnsiTheme="minorEastAsia"/>
          <w:sz w:val="24"/>
          <w:lang w:eastAsia="zh-CN"/>
        </w:rPr>
        <w:t>）</w:t>
      </w:r>
      <w:r>
        <w:rPr>
          <w:rFonts w:asciiTheme="minorEastAsia" w:hAnsiTheme="minorEastAsia"/>
          <w:sz w:val="24"/>
        </w:rPr>
        <w:t>利用烟团模式计算各种污染物在事故发生后不同时间、不利气象条件下地面浓度、最大落地浓度和出现距离，确定各种污染物域值出现的范围，并对最不利气象条件下污染物扩散进行重点分析；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2</w:t>
      </w:r>
      <w:r>
        <w:rPr>
          <w:rFonts w:hint="eastAsia" w:asciiTheme="minorEastAsia" w:hAnsiTheme="minorEastAsia"/>
          <w:sz w:val="24"/>
          <w:lang w:eastAsia="zh-CN"/>
        </w:rPr>
        <w:t>）</w:t>
      </w:r>
      <w:r>
        <w:rPr>
          <w:rFonts w:asciiTheme="minorEastAsia" w:hAnsiTheme="minorEastAsia"/>
          <w:sz w:val="24"/>
        </w:rPr>
        <w:t>预测各风险因子LC50、IDLH浓度出现的时间及距离，并画出最大包络范围图。</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hint="eastAsia" w:asciiTheme="minorEastAsia" w:hAnsiTheme="minorEastAsia"/>
          <w:sz w:val="24"/>
          <w:lang w:eastAsia="zh-CN"/>
        </w:rPr>
        <w:t>（</w:t>
      </w:r>
      <w:r>
        <w:rPr>
          <w:rFonts w:hint="eastAsia" w:asciiTheme="minorEastAsia" w:hAnsiTheme="minorEastAsia"/>
          <w:sz w:val="24"/>
          <w:lang w:val="en-US" w:eastAsia="zh-CN"/>
        </w:rPr>
        <w:t>3</w:t>
      </w:r>
      <w:r>
        <w:rPr>
          <w:rFonts w:hint="eastAsia" w:asciiTheme="minorEastAsia" w:hAnsiTheme="minorEastAsia"/>
          <w:sz w:val="24"/>
          <w:lang w:eastAsia="zh-CN"/>
        </w:rPr>
        <w:t>）</w:t>
      </w:r>
      <w:r>
        <w:rPr>
          <w:rFonts w:asciiTheme="minorEastAsia" w:hAnsiTheme="minorEastAsia"/>
          <w:sz w:val="24"/>
        </w:rPr>
        <w:t>预测模式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根据物质泄漏及有毒蒸汽释放的事故特点，采用《环境风险评价导则》推荐的多烟团叠加模式。</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asciiTheme="minorEastAsia" w:hAnsiTheme="minorEastAsia"/>
          <w:sz w:val="24"/>
        </w:rPr>
      </w:pPr>
      <w:r>
        <w:rPr>
          <w:rFonts w:asciiTheme="minorEastAsia" w:hAnsiTheme="minorEastAsia"/>
          <w:sz w:val="24"/>
        </w:rPr>
        <w:t>多烟团模式：</w:t>
      </w:r>
    </w:p>
    <w:p>
      <w:pPr>
        <w:rPr>
          <w:rFonts w:asciiTheme="minorEastAsia" w:hAnsiTheme="minorEastAsia"/>
          <w:sz w:val="24"/>
        </w:rPr>
      </w:pPr>
      <w:r>
        <w:rPr>
          <w:rFonts w:asciiTheme="minorEastAsia" w:hAnsiTheme="minorEastAsia"/>
          <w:sz w:val="24"/>
        </w:rPr>
        <w:pict>
          <v:shape id="_x0000_s1038" o:spid="_x0000_s1038" o:spt="75" type="#_x0000_t75" style="position:absolute;left:0pt;margin-left:243pt;margin-top:0.05pt;height:42pt;width:147pt;z-index:251678720;mso-width-relative:page;mso-height-relative:page;" o:ole="t" filled="f" o:preferrelative="t" stroked="f" coordsize="21600,21600">
            <v:path/>
            <v:fill on="f" focussize="0,0"/>
            <v:stroke on="f" joinstyle="miter"/>
            <v:imagedata r:id="rId47" o:title=""/>
            <o:lock v:ext="edit" aspectratio="t"/>
          </v:shape>
          <o:OLEObject Type="Embed" ProgID="Equation.3" ShapeID="_x0000_s1038" DrawAspect="Content" ObjectID="_1468075756" r:id="rId96">
            <o:LockedField>false</o:LockedField>
          </o:OLEObject>
        </w:pict>
      </w:r>
      <w:r>
        <w:rPr>
          <w:rFonts w:asciiTheme="minorEastAsia" w:hAnsiTheme="minorEastAsia"/>
          <w:sz w:val="24"/>
        </w:rPr>
        <w:pict>
          <v:shape id="_x0000_s1039" o:spid="_x0000_s1039" o:spt="75" type="#_x0000_t75" style="position:absolute;left:0pt;margin-left:27pt;margin-top:0.05pt;height:39.75pt;width:218.25pt;z-index:251679744;mso-width-relative:page;mso-height-relative:page;" o:ole="t" filled="f" o:preferrelative="t" stroked="f" coordsize="21600,21600">
            <v:path/>
            <v:fill on="f" focussize="0,0"/>
            <v:stroke on="f" joinstyle="miter"/>
            <v:imagedata r:id="rId49" o:title=""/>
            <o:lock v:ext="edit" aspectratio="t"/>
          </v:shape>
          <o:OLEObject Type="Embed" ProgID="Equation.3" ShapeID="_x0000_s1039" DrawAspect="Content" ObjectID="_1468075757" r:id="rId97">
            <o:LockedField>false</o:LockedField>
          </o:OLEObject>
        </w:pict>
      </w:r>
    </w:p>
    <w:p>
      <w:pPr>
        <w:rPr>
          <w:rFonts w:asciiTheme="minorEastAsia" w:hAnsiTheme="minorEastAsia"/>
          <w:sz w:val="24"/>
        </w:rPr>
      </w:pPr>
    </w:p>
    <w:p>
      <w:pPr>
        <w:rPr>
          <w:rFonts w:asciiTheme="minorEastAsia" w:hAnsiTheme="minorEastAsia"/>
          <w:sz w:val="24"/>
        </w:rPr>
      </w:pPr>
    </w:p>
    <w:p>
      <w:pPr>
        <w:rPr>
          <w:rFonts w:asciiTheme="minorEastAsia" w:hAnsiTheme="minorEastAsia"/>
          <w:sz w:val="24"/>
        </w:rPr>
      </w:pPr>
      <w:r>
        <w:rPr>
          <w:rFonts w:asciiTheme="minorEastAsia" w:hAnsiTheme="minorEastAsia"/>
          <w:sz w:val="24"/>
        </w:rPr>
        <w:t>式中：</w:t>
      </w:r>
      <w:r>
        <w:rPr>
          <w:rFonts w:asciiTheme="minorEastAsia" w:hAnsiTheme="minorEastAsia"/>
          <w:sz w:val="24"/>
        </w:rPr>
        <w:object>
          <v:shape id="_x0000_i1044" o:spt="75" type="#_x0000_t75" style="height:17.5pt;width:42.5pt;" o:ole="t" filled="f" o:preferrelative="t" stroked="f" coordsize="21600,21600">
            <v:path/>
            <v:fill on="f" focussize="0,0"/>
            <v:stroke on="f" joinstyle="miter"/>
            <v:imagedata r:id="rId51" o:title=""/>
            <o:lock v:ext="edit" aspectratio="t"/>
            <w10:wrap type="none"/>
            <w10:anchorlock/>
          </v:shape>
          <o:OLEObject Type="Embed" ProgID="Equation.3" ShapeID="_x0000_i1044" DrawAspect="Content" ObjectID="_1468075758" r:id="rId98">
            <o:LockedField>false</o:LockedField>
          </o:OLEObject>
        </w:object>
      </w:r>
      <w:r>
        <w:rPr>
          <w:rFonts w:asciiTheme="minorEastAsia" w:hAnsiTheme="minorEastAsia"/>
          <w:sz w:val="24"/>
        </w:rPr>
        <w:t>－下风向地面</w:t>
      </w:r>
      <w:r>
        <w:rPr>
          <w:rFonts w:asciiTheme="minorEastAsia" w:hAnsiTheme="minorEastAsia"/>
          <w:sz w:val="24"/>
        </w:rPr>
        <w:object>
          <v:shape id="_x0000_i1045" o:spt="75" type="#_x0000_t75" style="height:17.5pt;width:28pt;" o:ole="t" filled="f" o:preferrelative="t" stroked="f" coordsize="21600,21600">
            <v:path/>
            <v:fill on="f" focussize="0,0"/>
            <v:stroke on="f" joinstyle="miter"/>
            <v:imagedata r:id="rId53" o:title=""/>
            <o:lock v:ext="edit" aspectratio="t"/>
            <w10:wrap type="none"/>
            <w10:anchorlock/>
          </v:shape>
          <o:OLEObject Type="Embed" ProgID="Equation.3" ShapeID="_x0000_i1045" DrawAspect="Content" ObjectID="_1468075759" r:id="rId99">
            <o:LockedField>false</o:LockedField>
          </o:OLEObject>
        </w:object>
      </w:r>
      <w:r>
        <w:rPr>
          <w:rFonts w:asciiTheme="minorEastAsia" w:hAnsiTheme="minorEastAsia"/>
          <w:sz w:val="24"/>
        </w:rPr>
        <w:t>坐标处的空气中污染物浓度；</w:t>
      </w:r>
    </w:p>
    <w:p>
      <w:pPr>
        <w:rPr>
          <w:rFonts w:asciiTheme="minorEastAsia" w:hAnsiTheme="minorEastAsia"/>
          <w:sz w:val="24"/>
        </w:rPr>
      </w:pPr>
      <w:r>
        <w:rPr>
          <w:rFonts w:asciiTheme="minorEastAsia" w:hAnsiTheme="minorEastAsia"/>
          <w:sz w:val="24"/>
        </w:rPr>
        <w:object>
          <v:shape id="_x0000_i1046" o:spt="75" type="#_x0000_t75" style="height:18pt;width:46pt;" o:ole="t" filled="f" o:preferrelative="t" stroked="f" coordsize="21600,21600">
            <v:path/>
            <v:fill on="f" focussize="0,0"/>
            <v:stroke on="f" joinstyle="miter"/>
            <v:imagedata r:id="rId55" o:title=""/>
            <o:lock v:ext="edit" aspectratio="t"/>
            <w10:wrap type="none"/>
            <w10:anchorlock/>
          </v:shape>
          <o:OLEObject Type="Embed" ProgID="Equation.3" ShapeID="_x0000_i1046" DrawAspect="Content" ObjectID="_1468075760" r:id="rId100">
            <o:LockedField>false</o:LockedField>
          </o:OLEObject>
        </w:object>
      </w:r>
      <w:r>
        <w:rPr>
          <w:rFonts w:asciiTheme="minorEastAsia" w:hAnsiTheme="minorEastAsia"/>
          <w:sz w:val="24"/>
        </w:rPr>
        <w:t>－烟团中心坐标；</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Q－事故期间烟团的排放量。</w:t>
      </w:r>
    </w:p>
    <w:p>
      <w:pPr>
        <w:rPr>
          <w:rFonts w:asciiTheme="minorEastAsia" w:hAnsiTheme="minorEastAsia"/>
          <w:sz w:val="24"/>
        </w:rPr>
      </w:pPr>
    </w:p>
    <w:p>
      <w:pPr>
        <w:rPr>
          <w:rFonts w:asciiTheme="minorEastAsia" w:hAnsiTheme="minorEastAsia"/>
          <w:sz w:val="24"/>
        </w:rPr>
      </w:pPr>
      <w:r>
        <w:rPr>
          <w:rFonts w:asciiTheme="minorEastAsia" w:hAnsiTheme="minorEastAsia"/>
          <w:sz w:val="24"/>
        </w:rPr>
        <w:t>对于瞬时或短时间事故，采用下述变天条件下多烟团模式：</w:t>
      </w:r>
    </w:p>
    <w:p>
      <w:pPr>
        <w:rPr>
          <w:rFonts w:asciiTheme="minorEastAsia" w:hAnsiTheme="minorEastAsia"/>
          <w:sz w:val="24"/>
        </w:rPr>
      </w:pPr>
      <w:r>
        <w:rPr>
          <w:rFonts w:asciiTheme="minorEastAsia" w:hAnsiTheme="minorEastAsia"/>
          <w:sz w:val="24"/>
        </w:rPr>
        <w:pict>
          <v:shape id="_x0000_s1040" o:spid="_x0000_s1040" o:spt="75" type="#_x0000_t75" style="position:absolute;left:0pt;margin-left:0pt;margin-top:0pt;height:34.1pt;width:405pt;mso-wrap-distance-bottom:0pt;mso-wrap-distance-top:0pt;z-index:251677696;mso-width-relative:page;mso-height-relative:page;" o:ole="t" filled="f" o:preferrelative="t" stroked="f" coordsize="21600,21600">
            <v:path/>
            <v:fill on="f" focussize="0,0"/>
            <v:stroke on="f" joinstyle="miter"/>
            <v:imagedata r:id="rId57" o:title=""/>
            <o:lock v:ext="edit" aspectratio="t"/>
            <w10:wrap type="topAndBottom"/>
          </v:shape>
          <o:OLEObject Type="Embed" ProgID="Equation.3" ShapeID="_x0000_s1040" DrawAspect="Content" ObjectID="_1468075761" r:id="rId101">
            <o:LockedField>false</o:LockedField>
          </o:OLEObject>
        </w:pict>
      </w:r>
      <w:r>
        <w:rPr>
          <w:rFonts w:asciiTheme="minorEastAsia" w:hAnsiTheme="minorEastAsia"/>
          <w:sz w:val="24"/>
        </w:rPr>
        <w:t>式中：</w:t>
      </w:r>
      <w:r>
        <w:rPr>
          <w:rFonts w:asciiTheme="minorEastAsia" w:hAnsiTheme="minorEastAsia"/>
          <w:sz w:val="24"/>
        </w:rPr>
        <w:drawing>
          <wp:inline distT="0" distB="0" distL="0" distR="0">
            <wp:extent cx="863600" cy="241300"/>
            <wp:effectExtent l="0" t="0" r="12700" b="571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58" cstate="print"/>
                    <a:srcRect/>
                    <a:stretch>
                      <a:fillRect/>
                    </a:stretch>
                  </pic:blipFill>
                  <pic:spPr>
                    <a:xfrm>
                      <a:off x="0" y="0"/>
                      <a:ext cx="8636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第i个烟团在tw时刻·（即第w时段）在点(x,y,0)产生的地面浓度；</w:t>
      </w:r>
    </w:p>
    <w:p>
      <w:pPr>
        <w:rPr>
          <w:rFonts w:asciiTheme="minorEastAsia" w:hAnsiTheme="minorEastAsia"/>
          <w:sz w:val="24"/>
        </w:rPr>
      </w:pPr>
      <w:r>
        <w:rPr>
          <w:rFonts w:asciiTheme="minorEastAsia" w:hAnsiTheme="minorEastAsia"/>
          <w:sz w:val="24"/>
        </w:rPr>
        <w:drawing>
          <wp:inline distT="0" distB="0" distL="0" distR="0">
            <wp:extent cx="342900" cy="241300"/>
            <wp:effectExtent l="0" t="0" r="0" b="444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59"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42900" cy="241300"/>
            <wp:effectExtent l="0" t="0" r="0" b="444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60" cstate="print"/>
                    <a:srcRect/>
                    <a:stretch>
                      <a:fillRect/>
                    </a:stretch>
                  </pic:blipFill>
                  <pic:spPr>
                    <a:xfrm>
                      <a:off x="0" y="0"/>
                      <a:ext cx="342900" cy="2413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330200" cy="241300"/>
            <wp:effectExtent l="0" t="0" r="0" b="444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61" cstate="print"/>
                    <a:srcRect/>
                    <a:stretch>
                      <a:fillRect/>
                    </a:stretch>
                  </pic:blipFill>
                  <pic:spPr>
                    <a:xfrm>
                      <a:off x="0" y="0"/>
                      <a:ext cx="330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烟团在w时段沿x、y和z方向的等效扩散参数（m），可由下式估算：</w:t>
      </w:r>
    </w:p>
    <w:p>
      <w:pPr>
        <w:rPr>
          <w:rFonts w:asciiTheme="minorEastAsia" w:hAnsiTheme="minorEastAsia"/>
          <w:sz w:val="24"/>
        </w:rPr>
      </w:pPr>
      <w:r>
        <w:rPr>
          <w:rFonts w:asciiTheme="minorEastAsia" w:hAnsiTheme="minorEastAsia"/>
          <w:sz w:val="24"/>
        </w:rPr>
        <w:drawing>
          <wp:inline distT="0" distB="0" distL="0" distR="0">
            <wp:extent cx="2368550" cy="488950"/>
            <wp:effectExtent l="0" t="0" r="12700" b="508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62" cstate="print"/>
                    <a:srcRect/>
                    <a:stretch>
                      <a:fillRect/>
                    </a:stretch>
                  </pic:blipFill>
                  <pic:spPr>
                    <a:xfrm>
                      <a:off x="0" y="0"/>
                      <a:ext cx="2368550" cy="48895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w:t>
      </w:r>
    </w:p>
    <w:p>
      <w:pPr>
        <w:rPr>
          <w:rFonts w:asciiTheme="minorEastAsia" w:hAnsiTheme="minorEastAsia"/>
          <w:sz w:val="24"/>
        </w:rPr>
      </w:pPr>
      <w:r>
        <w:rPr>
          <w:rFonts w:asciiTheme="minorEastAsia" w:hAnsiTheme="minorEastAsia"/>
          <w:sz w:val="24"/>
        </w:rPr>
        <w:drawing>
          <wp:inline distT="0" distB="0" distL="0" distR="0">
            <wp:extent cx="1746250" cy="30480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63" cstate="print"/>
                    <a:srcRect/>
                    <a:stretch>
                      <a:fillRect/>
                    </a:stretch>
                  </pic:blipFill>
                  <pic:spPr>
                    <a:xfrm>
                      <a:off x="0" y="0"/>
                      <a:ext cx="1746250" cy="3048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扩散因子，对tw时段的事故按下式计算：</w:t>
      </w:r>
    </w:p>
    <w:p>
      <w:pPr>
        <w:rPr>
          <w:rFonts w:asciiTheme="minorEastAsia" w:hAnsiTheme="minorEastAsia"/>
          <w:sz w:val="24"/>
        </w:rPr>
      </w:pPr>
      <w:r>
        <w:rPr>
          <w:rFonts w:asciiTheme="minorEastAsia" w:hAnsiTheme="minorEastAsia"/>
          <w:sz w:val="24"/>
        </w:rPr>
        <w:t>式中：</w:t>
      </w:r>
      <w:r>
        <w:rPr>
          <w:rFonts w:asciiTheme="minorEastAsia" w:hAnsiTheme="minorEastAsia"/>
          <w:sz w:val="24"/>
        </w:rPr>
        <w:drawing>
          <wp:inline distT="0" distB="0" distL="0" distR="0">
            <wp:extent cx="177800" cy="228600"/>
            <wp:effectExtent l="0" t="0" r="1270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64" cstate="print"/>
                    <a:srcRect/>
                    <a:stretch>
                      <a:fillRect/>
                    </a:stretch>
                  </pic:blipFill>
                  <pic:spPr>
                    <a:xfrm>
                      <a:off x="0" y="0"/>
                      <a:ext cx="177800" cy="2286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烟团排放量，</w:t>
      </w:r>
      <w:r>
        <w:rPr>
          <w:rFonts w:asciiTheme="minorEastAsia" w:hAnsiTheme="minorEastAsia"/>
          <w:sz w:val="24"/>
        </w:rPr>
        <w:drawing>
          <wp:inline distT="0" distB="0" distL="0" distR="0">
            <wp:extent cx="609600" cy="22860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noChangeArrowheads="1"/>
                    </pic:cNvPicPr>
                  </pic:nvPicPr>
                  <pic:blipFill>
                    <a:blip r:embed="rId65" cstate="print"/>
                    <a:srcRect/>
                    <a:stretch>
                      <a:fillRect/>
                    </a:stretch>
                  </pic:blipFill>
                  <pic:spPr>
                    <a:xfrm>
                      <a:off x="0" y="0"/>
                      <a:ext cx="609600" cy="228600"/>
                    </a:xfrm>
                    <a:prstGeom prst="rect">
                      <a:avLst/>
                    </a:prstGeom>
                    <a:noFill/>
                    <a:ln w="9525">
                      <a:noFill/>
                      <a:miter lim="800000"/>
                      <a:headEnd/>
                      <a:tailEnd/>
                    </a:ln>
                  </pic:spPr>
                </pic:pic>
              </a:graphicData>
            </a:graphic>
          </wp:inline>
        </w:drawing>
      </w:r>
      <w:r>
        <w:rPr>
          <w:rFonts w:asciiTheme="minorEastAsia" w:hAnsiTheme="minorEastAsia"/>
          <w:sz w:val="24"/>
        </w:rPr>
        <w:t>；</w:t>
      </w:r>
      <w:r>
        <w:rPr>
          <w:rFonts w:asciiTheme="minorEastAsia" w:hAnsiTheme="minorEastAsia"/>
          <w:sz w:val="24"/>
        </w:rPr>
        <w:drawing>
          <wp:inline distT="0" distB="0" distL="0" distR="0">
            <wp:extent cx="152400" cy="203200"/>
            <wp:effectExtent l="0" t="0" r="0" b="444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noChangeArrowheads="1"/>
                    </pic:cNvPicPr>
                  </pic:nvPicPr>
                  <pic:blipFill>
                    <a:blip r:embed="rId66" cstate="print"/>
                    <a:srcRect/>
                    <a:stretch>
                      <a:fillRect/>
                    </a:stretch>
                  </pic:blipFill>
                  <pic:spPr>
                    <a:xfrm>
                      <a:off x="0" y="0"/>
                      <a:ext cx="152400" cy="203200"/>
                    </a:xfrm>
                    <a:prstGeom prst="rect">
                      <a:avLst/>
                    </a:prstGeom>
                    <a:noFill/>
                    <a:ln w="9525">
                      <a:noFill/>
                      <a:miter lim="800000"/>
                      <a:headEnd/>
                      <a:tailEnd/>
                    </a:ln>
                  </pic:spPr>
                </pic:pic>
              </a:graphicData>
            </a:graphic>
          </wp:inline>
        </w:drawing>
      </w:r>
      <w:r>
        <w:rPr>
          <w:rFonts w:asciiTheme="minorEastAsia" w:hAnsiTheme="minorEastAsia"/>
          <w:sz w:val="24"/>
        </w:rPr>
        <w:t>为释放率，</w:t>
      </w:r>
      <w:r>
        <w:rPr>
          <w:rFonts w:asciiTheme="minorEastAsia" w:hAnsiTheme="minorEastAsia"/>
          <w:sz w:val="24"/>
        </w:rPr>
        <w:drawing>
          <wp:inline distT="0" distB="0" distL="0" distR="0">
            <wp:extent cx="190500" cy="177800"/>
            <wp:effectExtent l="0" t="0" r="0" b="1333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67" cstate="print"/>
                    <a:srcRect/>
                    <a:stretch>
                      <a:fillRect/>
                    </a:stretch>
                  </pic:blipFill>
                  <pic:spPr>
                    <a:xfrm>
                      <a:off x="0" y="0"/>
                      <a:ext cx="190500" cy="177800"/>
                    </a:xfrm>
                    <a:prstGeom prst="rect">
                      <a:avLst/>
                    </a:prstGeom>
                    <a:noFill/>
                    <a:ln w="9525">
                      <a:noFill/>
                      <a:miter lim="800000"/>
                      <a:headEnd/>
                      <a:tailEnd/>
                    </a:ln>
                  </pic:spPr>
                </pic:pic>
              </a:graphicData>
            </a:graphic>
          </wp:inline>
        </w:drawing>
      </w:r>
      <w:r>
        <w:rPr>
          <w:rFonts w:asciiTheme="minorEastAsia" w:hAnsiTheme="minorEastAsia"/>
          <w:sz w:val="24"/>
        </w:rPr>
        <w:t>为时段长度；</w:t>
      </w:r>
    </w:p>
    <w:p>
      <w:pPr>
        <w:rPr>
          <w:rFonts w:asciiTheme="minorEastAsia" w:hAnsiTheme="minorEastAsia"/>
          <w:sz w:val="24"/>
        </w:rPr>
      </w:pPr>
      <w:r>
        <w:rPr>
          <w:rFonts w:asciiTheme="minorEastAsia" w:hAnsiTheme="minorEastAsia"/>
          <w:sz w:val="24"/>
        </w:rPr>
        <w:drawing>
          <wp:inline distT="0" distB="0" distL="0" distR="0">
            <wp:extent cx="190500" cy="241300"/>
            <wp:effectExtent l="0" t="0" r="0" b="50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68" cstate="print"/>
                    <a:srcRect/>
                    <a:stretch>
                      <a:fillRect/>
                    </a:stretch>
                  </pic:blipFill>
                  <pic:spPr>
                    <a:xfrm>
                      <a:off x="0" y="0"/>
                      <a:ext cx="190500" cy="241300"/>
                    </a:xfrm>
                    <a:prstGeom prst="rect">
                      <a:avLst/>
                    </a:prstGeom>
                    <a:noFill/>
                    <a:ln w="9525">
                      <a:noFill/>
                      <a:miter lim="800000"/>
                      <a:headEnd/>
                      <a:tailEnd/>
                    </a:ln>
                  </pic:spPr>
                </pic:pic>
              </a:graphicData>
            </a:graphic>
          </wp:inline>
        </w:drawing>
      </w:r>
      <w:r>
        <w:rPr>
          <w:rFonts w:asciiTheme="minorEastAsia" w:hAnsiTheme="minorEastAsia"/>
          <w:sz w:val="24"/>
        </w:rPr>
        <w:t>和</w:t>
      </w:r>
      <w:r>
        <w:rPr>
          <w:rFonts w:asciiTheme="minorEastAsia" w:hAnsiTheme="minorEastAsia"/>
          <w:sz w:val="24"/>
        </w:rPr>
        <w:drawing>
          <wp:inline distT="0" distB="0" distL="0" distR="0">
            <wp:extent cx="203200" cy="241300"/>
            <wp:effectExtent l="0" t="0" r="6350" b="508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69" cstate="print"/>
                    <a:srcRect/>
                    <a:stretch>
                      <a:fillRect/>
                    </a:stretch>
                  </pic:blipFill>
                  <pic:spPr>
                    <a:xfrm>
                      <a:off x="0" y="0"/>
                      <a:ext cx="203200" cy="241300"/>
                    </a:xfrm>
                    <a:prstGeom prst="rect">
                      <a:avLst/>
                    </a:prstGeom>
                    <a:noFill/>
                    <a:ln w="9525">
                      <a:noFill/>
                      <a:miter lim="800000"/>
                      <a:headEnd/>
                      <a:tailEnd/>
                    </a:ln>
                  </pic:spPr>
                </pic:pic>
              </a:graphicData>
            </a:graphic>
          </wp:inline>
        </w:drawing>
      </w:r>
      <w:r>
        <w:rPr>
          <w:rFonts w:asciiTheme="minorEastAsia" w:hAnsiTheme="minorEastAsia"/>
          <w:sz w:val="24"/>
        </w:rPr>
        <w:t xml:space="preserve"> </w:t>
      </w:r>
      <w:r>
        <w:rPr>
          <w:rFonts w:asciiTheme="minorEastAsia" w:hAnsiTheme="minorEastAsia"/>
          <w:sz w:val="24"/>
        </w:rPr>
        <w:sym w:font="Symbol" w:char="F0BE"/>
      </w:r>
      <w:r>
        <w:rPr>
          <w:rFonts w:asciiTheme="minorEastAsia" w:hAnsiTheme="minorEastAsia"/>
          <w:sz w:val="24"/>
        </w:rPr>
        <w:t xml:space="preserve"> 第w时段结束时第i烟团质心的x和y坐标，由下述两式计算：</w:t>
      </w:r>
    </w:p>
    <w:p>
      <w:pPr>
        <w:rPr>
          <w:rFonts w:asciiTheme="minorEastAsia" w:hAnsiTheme="minorEastAsia"/>
          <w:sz w:val="24"/>
        </w:rPr>
      </w:pPr>
      <w:r>
        <w:rPr>
          <w:rFonts w:asciiTheme="minorEastAsia" w:hAnsiTheme="minorEastAsia"/>
          <w:sz w:val="24"/>
        </w:rPr>
        <w:drawing>
          <wp:inline distT="0" distB="0" distL="0" distR="0">
            <wp:extent cx="2482850" cy="47625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noChangeArrowheads="1"/>
                    </pic:cNvPicPr>
                  </pic:nvPicPr>
                  <pic:blipFill>
                    <a:blip r:embed="rId70" cstate="print"/>
                    <a:srcRect/>
                    <a:stretch>
                      <a:fillRect/>
                    </a:stretch>
                  </pic:blipFill>
                  <pic:spPr>
                    <a:xfrm>
                      <a:off x="0" y="0"/>
                      <a:ext cx="2482850" cy="47625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drawing>
          <wp:inline distT="0" distB="0" distL="0" distR="0">
            <wp:extent cx="2482850" cy="469900"/>
            <wp:effectExtent l="0" t="0" r="12700" b="508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71" cstate="print"/>
                    <a:srcRect/>
                    <a:stretch>
                      <a:fillRect/>
                    </a:stretch>
                  </pic:blipFill>
                  <pic:spPr>
                    <a:xfrm>
                      <a:off x="0" y="0"/>
                      <a:ext cx="2482850" cy="469900"/>
                    </a:xfrm>
                    <a:prstGeom prst="rect">
                      <a:avLst/>
                    </a:prstGeom>
                    <a:noFill/>
                    <a:ln w="9525">
                      <a:noFill/>
                      <a:miter lim="800000"/>
                      <a:headEnd/>
                      <a:tailEnd/>
                    </a:ln>
                  </pic:spPr>
                </pic:pic>
              </a:graphicData>
            </a:graphic>
          </wp:inline>
        </w:drawing>
      </w:r>
      <w:r>
        <w:rPr>
          <w:rFonts w:asciiTheme="minorEastAsia" w:hAnsiTheme="minorEastAsia"/>
          <w:sz w:val="24"/>
        </w:rPr>
        <w:t xml:space="preserve">        </w:t>
      </w:r>
    </w:p>
    <w:p>
      <w:pPr>
        <w:rPr>
          <w:rFonts w:asciiTheme="minorEastAsia" w:hAnsiTheme="minorEastAsia"/>
          <w:sz w:val="24"/>
        </w:rPr>
      </w:pPr>
      <w:r>
        <w:rPr>
          <w:rFonts w:asciiTheme="minorEastAsia" w:hAnsiTheme="minorEastAsia"/>
          <w:sz w:val="24"/>
        </w:rPr>
        <w:t>各个烟团对某个关心点t小时的浓度贡献，按下式计算：</w:t>
      </w:r>
    </w:p>
    <w:p>
      <w:pPr>
        <w:rPr>
          <w:rFonts w:asciiTheme="minorEastAsia" w:hAnsiTheme="minorEastAsia"/>
          <w:sz w:val="24"/>
        </w:rPr>
      </w:pPr>
      <w:r>
        <w:rPr>
          <w:rFonts w:asciiTheme="minorEastAsia" w:hAnsiTheme="minorEastAsia"/>
          <w:sz w:val="24"/>
        </w:rPr>
        <w:drawing>
          <wp:inline distT="0" distB="0" distL="0" distR="0">
            <wp:extent cx="2025650" cy="49530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72" cstate="print"/>
                    <a:srcRect/>
                    <a:stretch>
                      <a:fillRect/>
                    </a:stretch>
                  </pic:blipFill>
                  <pic:spPr>
                    <a:xfrm>
                      <a:off x="0" y="0"/>
                      <a:ext cx="2025650" cy="495300"/>
                    </a:xfrm>
                    <a:prstGeom prst="rect">
                      <a:avLst/>
                    </a:prstGeom>
                    <a:noFill/>
                    <a:ln w="9525">
                      <a:noFill/>
                      <a:miter lim="800000"/>
                      <a:headEnd/>
                      <a:tailEnd/>
                    </a:ln>
                  </pic:spPr>
                </pic:pic>
              </a:graphicData>
            </a:graphic>
          </wp:inline>
        </w:drawing>
      </w:r>
    </w:p>
    <w:p>
      <w:pPr>
        <w:rPr>
          <w:rFonts w:asciiTheme="minorEastAsia" w:hAnsiTheme="minorEastAsia"/>
          <w:sz w:val="24"/>
        </w:rPr>
      </w:pPr>
      <w:r>
        <w:rPr>
          <w:rFonts w:asciiTheme="minorEastAsia" w:hAnsiTheme="minorEastAsia"/>
          <w:sz w:val="24"/>
        </w:rPr>
        <w:t>式中：n－需要跟踪的烟团数，可由下式确定：</w:t>
      </w:r>
    </w:p>
    <w:p>
      <w:pPr>
        <w:rPr>
          <w:rFonts w:asciiTheme="minorEastAsia" w:hAnsiTheme="minorEastAsia"/>
          <w:sz w:val="24"/>
        </w:rPr>
      </w:pPr>
      <w:r>
        <w:rPr>
          <w:rFonts w:asciiTheme="minorEastAsia" w:hAnsiTheme="minorEastAsia"/>
          <w:sz w:val="24"/>
        </w:rPr>
        <w:drawing>
          <wp:inline distT="0" distB="0" distL="0" distR="0">
            <wp:extent cx="2254250" cy="488950"/>
            <wp:effectExtent l="0" t="0" r="12700" b="508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73" cstate="print"/>
                    <a:srcRect/>
                    <a:stretch>
                      <a:fillRect/>
                    </a:stretch>
                  </pic:blipFill>
                  <pic:spPr>
                    <a:xfrm>
                      <a:off x="0" y="0"/>
                      <a:ext cx="2254250" cy="488950"/>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f为小于1的系数，可根据计算要求确定。</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lang w:eastAsia="zh-CN"/>
        </w:rPr>
        <w:t>（</w:t>
      </w:r>
      <w:r>
        <w:rPr>
          <w:rFonts w:hint="default" w:ascii="Times New Roman" w:hAnsi="Times New Roman" w:cs="Times New Roman"/>
          <w:sz w:val="24"/>
          <w:lang w:val="en-US" w:eastAsia="zh-CN"/>
        </w:rPr>
        <w:t>4</w:t>
      </w:r>
      <w:r>
        <w:rPr>
          <w:rFonts w:hint="default" w:ascii="Times New Roman" w:hAnsi="Times New Roman" w:cs="Times New Roman"/>
          <w:sz w:val="24"/>
          <w:lang w:eastAsia="zh-CN"/>
        </w:rPr>
        <w:t>）</w:t>
      </w:r>
      <w:r>
        <w:rPr>
          <w:rFonts w:hint="default" w:ascii="Times New Roman" w:hAnsi="Times New Roman" w:cs="Times New Roman"/>
          <w:sz w:val="24"/>
        </w:rPr>
        <w:t>气象条件选择</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rPr>
        <w:t>分别对B、D、F三个稳定度静风（0.5 m/s）、小风（1.5 m/s）、多年平均风速（2.02m/s）、风速（3.09m/s）四个代表性风速条件下，以事故发生时</w:t>
      </w:r>
      <w:r>
        <w:rPr>
          <w:rFonts w:hint="default" w:ascii="Times New Roman" w:hAnsi="Times New Roman" w:eastAsia="宋体" w:cs="Times New Roman"/>
          <w:sz w:val="24"/>
          <w:szCs w:val="24"/>
        </w:rPr>
        <w:t>污染物轴线最大落地浓度作为评价标准，比较分析事故的影响范围，选取对环境影响最大的气象条件作为风险预测的气象条件。</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5</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val="en-US" w:eastAsia="zh-CN"/>
        </w:rPr>
        <w:t>危害后果分析</w:t>
      </w:r>
    </w:p>
    <w:p>
      <w:pPr>
        <w:keepNext w:val="0"/>
        <w:keepLines w:val="0"/>
        <w:pageBreakBefore w:val="0"/>
        <w:widowControl w:val="0"/>
        <w:kinsoku/>
        <w:wordWrap/>
        <w:overflowPunct/>
        <w:topLinePunct w:val="0"/>
        <w:autoSpaceDE/>
        <w:autoSpaceDN/>
        <w:bidi w:val="0"/>
        <w:adjustRightInd/>
        <w:snapToGrid/>
        <w:spacing w:line="560" w:lineRule="exact"/>
        <w:ind w:firstLine="480" w:firstLineChars="200"/>
        <w:jc w:val="left"/>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各不利气象条件下硫磺回收装置酸性气管线泄漏H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S对下风向的影响范围。假定事故在30min内得到控制，事故发生后10min，20min和30min不同气象条件下H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S对下风向的影响见表</w:t>
      </w:r>
      <w:r>
        <w:rPr>
          <w:rFonts w:hint="eastAsia" w:ascii="Times New Roman" w:hAnsi="Times New Roman" w:eastAsia="宋体" w:cs="Times New Roman"/>
          <w:sz w:val="24"/>
          <w:szCs w:val="24"/>
          <w:lang w:val="en-US" w:eastAsia="zh-CN"/>
        </w:rPr>
        <w:t>5.5-6</w:t>
      </w:r>
      <w:r>
        <w:rPr>
          <w:rFonts w:hint="default" w:ascii="Times New Roman" w:hAnsi="Times New Roman" w:eastAsia="宋体" w:cs="Times New Roman"/>
          <w:sz w:val="24"/>
          <w:szCs w:val="24"/>
        </w:rPr>
        <w:t>。由表</w:t>
      </w:r>
      <w:r>
        <w:rPr>
          <w:rFonts w:hint="eastAsia" w:ascii="Times New Roman" w:hAnsi="Times New Roman" w:eastAsia="宋体" w:cs="Times New Roman"/>
          <w:sz w:val="24"/>
          <w:szCs w:val="24"/>
          <w:lang w:val="en-US" w:eastAsia="zh-CN"/>
        </w:rPr>
        <w:t>5.5-6</w:t>
      </w:r>
      <w:r>
        <w:rPr>
          <w:rFonts w:hint="default" w:ascii="Times New Roman" w:hAnsi="Times New Roman" w:eastAsia="宋体" w:cs="Times New Roman"/>
          <w:sz w:val="24"/>
          <w:szCs w:val="24"/>
        </w:rPr>
        <w:t>可知，在1.5m/s、F稳定度气象条件下硫磺回收装置酸性气管线泄漏10min时H</w:t>
      </w:r>
      <w:r>
        <w:rPr>
          <w:rFonts w:hint="default" w:ascii="Times New Roman" w:hAnsi="Times New Roman" w:eastAsia="宋体" w:cs="Times New Roman"/>
          <w:sz w:val="24"/>
          <w:szCs w:val="24"/>
          <w:vertAlign w:val="subscript"/>
        </w:rPr>
        <w:t>2</w:t>
      </w:r>
      <w:r>
        <w:rPr>
          <w:rFonts w:hint="default" w:ascii="Times New Roman" w:hAnsi="Times New Roman" w:eastAsia="宋体" w:cs="Times New Roman"/>
          <w:sz w:val="24"/>
          <w:szCs w:val="24"/>
        </w:rPr>
        <w:t>S的半致死浓度最大，由表</w:t>
      </w:r>
      <w:r>
        <w:rPr>
          <w:rFonts w:hint="eastAsia" w:ascii="Times New Roman" w:hAnsi="Times New Roman" w:eastAsia="宋体" w:cs="Times New Roman"/>
          <w:sz w:val="24"/>
          <w:szCs w:val="24"/>
          <w:lang w:val="en-US" w:eastAsia="zh-CN"/>
        </w:rPr>
        <w:t>5.5-6</w:t>
      </w:r>
      <w:r>
        <w:rPr>
          <w:rFonts w:hint="default" w:ascii="Times New Roman" w:hAnsi="Times New Roman" w:eastAsia="宋体" w:cs="Times New Roman"/>
          <w:sz w:val="24"/>
          <w:szCs w:val="24"/>
        </w:rPr>
        <w:t>可以看出，在该气象条件下，超过半致死浓度的最远距离为684.7m，面积达到4.67×10</w:t>
      </w:r>
      <w:r>
        <w:rPr>
          <w:rFonts w:hint="default" w:ascii="Times New Roman" w:hAnsi="Times New Roman" w:eastAsia="宋体" w:cs="Times New Roman"/>
          <w:sz w:val="24"/>
          <w:szCs w:val="24"/>
          <w:vertAlign w:val="superscript"/>
        </w:rPr>
        <w:t>4</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；超过立即威胁生命和监控浓度的最远距离为717.7m，面积达到1.23×10</w:t>
      </w:r>
      <w:r>
        <w:rPr>
          <w:rFonts w:hint="default" w:ascii="Times New Roman" w:hAnsi="Times New Roman" w:eastAsia="宋体" w:cs="Times New Roman"/>
          <w:sz w:val="24"/>
          <w:szCs w:val="24"/>
          <w:vertAlign w:val="superscript"/>
        </w:rPr>
        <w:t>4</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，超过居住区容许浓度范围的距离为981.6m，面积达到8.87×10</w:t>
      </w:r>
      <w:r>
        <w:rPr>
          <w:rFonts w:hint="default" w:ascii="Times New Roman" w:hAnsi="Times New Roman" w:eastAsia="宋体" w:cs="Times New Roman"/>
          <w:sz w:val="24"/>
          <w:szCs w:val="24"/>
          <w:vertAlign w:val="superscript"/>
        </w:rPr>
        <w:t>5</w:t>
      </w:r>
      <w:r>
        <w:rPr>
          <w:rFonts w:hint="default" w:ascii="Times New Roman" w:hAnsi="Times New Roman" w:eastAsia="宋体" w:cs="Times New Roman"/>
          <w:sz w:val="24"/>
          <w:szCs w:val="24"/>
        </w:rPr>
        <w:t>m</w:t>
      </w:r>
      <w:r>
        <w:rPr>
          <w:rFonts w:hint="default" w:ascii="Times New Roman" w:hAnsi="Times New Roman" w:eastAsia="宋体" w:cs="Times New Roman"/>
          <w:sz w:val="24"/>
          <w:szCs w:val="24"/>
          <w:vertAlign w:val="superscript"/>
        </w:rPr>
        <w:t>2</w:t>
      </w:r>
      <w:r>
        <w:rPr>
          <w:rFonts w:hint="default" w:ascii="Times New Roman" w:hAnsi="Times New Roman" w:eastAsia="宋体" w:cs="Times New Roman"/>
          <w:sz w:val="24"/>
          <w:szCs w:val="24"/>
        </w:rPr>
        <w:t>，事故泄露影响包络线范围见图</w:t>
      </w:r>
      <w:r>
        <w:rPr>
          <w:rFonts w:hint="eastAsia" w:ascii="Times New Roman" w:hAnsi="Times New Roman" w:eastAsia="宋体" w:cs="Times New Roman"/>
          <w:sz w:val="24"/>
          <w:szCs w:val="24"/>
          <w:lang w:val="en-US" w:eastAsia="zh-CN"/>
        </w:rPr>
        <w:t>5.5-5</w:t>
      </w:r>
      <w:r>
        <w:rPr>
          <w:rFonts w:hint="default" w:ascii="Times New Roman" w:hAnsi="Times New Roman" w:eastAsia="宋体" w:cs="Times New Roman"/>
          <w:sz w:val="24"/>
          <w:szCs w:val="24"/>
        </w:rPr>
        <w:t>。</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宋体" w:cs="Times New Roman"/>
          <w:b/>
          <w:sz w:val="24"/>
          <w:szCs w:val="24"/>
        </w:rPr>
      </w:pPr>
      <w:r>
        <w:rPr>
          <w:rFonts w:hint="default" w:ascii="Times New Roman" w:hAnsi="Times New Roman" w:eastAsia="宋体" w:cs="Times New Roman"/>
          <w:b/>
          <w:sz w:val="24"/>
          <w:szCs w:val="24"/>
        </w:rPr>
        <w:t>表</w:t>
      </w:r>
      <w:r>
        <w:rPr>
          <w:rFonts w:hint="eastAsia" w:ascii="Times New Roman" w:hAnsi="Times New Roman" w:eastAsia="宋体" w:cs="Times New Roman"/>
          <w:b/>
          <w:sz w:val="24"/>
          <w:szCs w:val="24"/>
          <w:lang w:val="en-US" w:eastAsia="zh-CN"/>
        </w:rPr>
        <w:t>5.5-6</w:t>
      </w:r>
      <w:r>
        <w:rPr>
          <w:rFonts w:hint="default" w:ascii="Times New Roman" w:hAnsi="Times New Roman" w:eastAsia="宋体" w:cs="Times New Roman"/>
          <w:b/>
          <w:sz w:val="24"/>
          <w:szCs w:val="24"/>
        </w:rPr>
        <w:t xml:space="preserve">   硫磺回收装置酸性气管线泄漏H</w:t>
      </w:r>
      <w:r>
        <w:rPr>
          <w:rFonts w:hint="default" w:ascii="Times New Roman" w:hAnsi="Times New Roman" w:eastAsia="宋体" w:cs="Times New Roman"/>
          <w:b/>
          <w:sz w:val="24"/>
          <w:szCs w:val="24"/>
          <w:vertAlign w:val="subscript"/>
        </w:rPr>
        <w:t>2</w:t>
      </w:r>
      <w:r>
        <w:rPr>
          <w:rFonts w:hint="default" w:ascii="Times New Roman" w:hAnsi="Times New Roman" w:eastAsia="宋体" w:cs="Times New Roman"/>
          <w:b/>
          <w:sz w:val="24"/>
          <w:szCs w:val="24"/>
        </w:rPr>
        <w:t>S最大落地浓度以及事故后果分析</w:t>
      </w:r>
    </w:p>
    <w:tbl>
      <w:tblPr>
        <w:tblStyle w:val="21"/>
        <w:tblW w:w="5000"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702"/>
        <w:gridCol w:w="702"/>
        <w:gridCol w:w="983"/>
        <w:gridCol w:w="1299"/>
        <w:gridCol w:w="1237"/>
        <w:gridCol w:w="1125"/>
        <w:gridCol w:w="1350"/>
        <w:gridCol w:w="1124"/>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稳定度</w:t>
            </w:r>
          </w:p>
        </w:tc>
        <w:tc>
          <w:tcPr>
            <w:tcW w:w="41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风速</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预测时刻（min）</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最大落地浓度mg/m3</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出现距离（m）</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半致死浓度范围（m）</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立即威胁生命和健康浓度（m）</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居住区最高允许浓度（m）</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43"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静风</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7,732.18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4.8</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36.8</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44.2</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1,352.30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5"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0.9088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338.9</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2,323.70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0.1705</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634.6</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3,106.00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静风</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11,042.59</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91.8</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110</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925.5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15.0208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315.8</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1,693.60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2.8511</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592</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2,395.00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静风</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5,779.06</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21.2</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141.6</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168.4</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891</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45.2106</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305.1</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1,650.30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8.6328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571.8</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2,354.90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5,850.99</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31.8</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173.6</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212</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1,752.10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18.5272</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934.2</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2,929.60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4.7086</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1,807.40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4,006.90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1.5</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6,867.34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45.9</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283.2</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346.9</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1,343.50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66.77</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882.7</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2,410.90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19.5045</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1,740.60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3,418.20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1.5</w:t>
            </w:r>
          </w:p>
        </w:tc>
        <w:tc>
          <w:tcPr>
            <w:tcW w:w="577" w:type="pc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7,093.93</w:t>
            </w:r>
          </w:p>
        </w:tc>
        <w:tc>
          <w:tcPr>
            <w:tcW w:w="726"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96.7</w:t>
            </w:r>
          </w:p>
        </w:tc>
        <w:tc>
          <w:tcPr>
            <w:tcW w:w="660"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684.7</w:t>
            </w:r>
          </w:p>
        </w:tc>
        <w:tc>
          <w:tcPr>
            <w:tcW w:w="79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717.7</w:t>
            </w:r>
          </w:p>
        </w:tc>
        <w:tc>
          <w:tcPr>
            <w:tcW w:w="659"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981.6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412"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577" w:type="pc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490.84</w:t>
            </w:r>
          </w:p>
        </w:tc>
        <w:tc>
          <w:tcPr>
            <w:tcW w:w="726"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819.9</w:t>
            </w:r>
          </w:p>
        </w:tc>
        <w:tc>
          <w:tcPr>
            <w:tcW w:w="660" w:type="pct"/>
            <w:tcBorders>
              <w:tl2br w:val="nil"/>
              <w:tr2bl w:val="nil"/>
            </w:tcBorders>
            <w:shd w:val="clear" w:color="FFFF00" w:fill="auto"/>
            <w:vAlign w:val="center"/>
          </w:tcPr>
          <w:p>
            <w:pPr>
              <w:jc w:val="center"/>
              <w:rPr>
                <w:rFonts w:asciiTheme="minorEastAsia" w:hAnsiTheme="minorEastAsia"/>
                <w:sz w:val="18"/>
                <w:szCs w:val="18"/>
              </w:rPr>
            </w:pPr>
          </w:p>
        </w:tc>
        <w:tc>
          <w:tcPr>
            <w:tcW w:w="79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917.30</w:t>
            </w:r>
          </w:p>
        </w:tc>
        <w:tc>
          <w:tcPr>
            <w:tcW w:w="659"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1,882.70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412" w:type="pct"/>
            <w:vMerge w:val="continue"/>
            <w:tcBorders>
              <w:tl2br w:val="nil"/>
              <w:tr2bl w:val="nil"/>
            </w:tcBorders>
            <w:shd w:val="clear" w:color="auto" w:fill="auto"/>
            <w:vAlign w:val="center"/>
          </w:tcPr>
          <w:p>
            <w:pPr>
              <w:jc w:val="center"/>
              <w:rPr>
                <w:rFonts w:asciiTheme="minorEastAsia" w:hAnsiTheme="minorEastAsia"/>
                <w:sz w:val="18"/>
                <w:szCs w:val="18"/>
              </w:rPr>
            </w:pPr>
          </w:p>
        </w:tc>
        <w:tc>
          <w:tcPr>
            <w:tcW w:w="577" w:type="pct"/>
            <w:tcBorders>
              <w:tl2br w:val="nil"/>
              <w:tr2bl w:val="nil"/>
            </w:tcBorders>
            <w:shd w:val="clear" w:color="auto" w:fill="auto"/>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176.32</w:t>
            </w:r>
          </w:p>
        </w:tc>
        <w:tc>
          <w:tcPr>
            <w:tcW w:w="726"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1,633.60</w:t>
            </w:r>
          </w:p>
        </w:tc>
        <w:tc>
          <w:tcPr>
            <w:tcW w:w="660" w:type="pct"/>
            <w:tcBorders>
              <w:tl2br w:val="nil"/>
              <w:tr2bl w:val="nil"/>
            </w:tcBorders>
            <w:shd w:val="clear" w:color="FFFF00" w:fill="auto"/>
            <w:vAlign w:val="center"/>
          </w:tcPr>
          <w:p>
            <w:pPr>
              <w:jc w:val="center"/>
              <w:rPr>
                <w:rFonts w:asciiTheme="minorEastAsia" w:hAnsiTheme="minorEastAsia"/>
                <w:sz w:val="18"/>
                <w:szCs w:val="18"/>
              </w:rPr>
            </w:pPr>
          </w:p>
        </w:tc>
        <w:tc>
          <w:tcPr>
            <w:tcW w:w="792" w:type="pct"/>
            <w:tcBorders>
              <w:tl2br w:val="nil"/>
              <w:tr2bl w:val="nil"/>
            </w:tcBorders>
            <w:shd w:val="clear" w:color="FFFF00" w:fill="auto"/>
            <w:vAlign w:val="center"/>
          </w:tcPr>
          <w:p>
            <w:pPr>
              <w:jc w:val="center"/>
              <w:rPr>
                <w:rFonts w:asciiTheme="minorEastAsia" w:hAnsiTheme="minorEastAsia"/>
                <w:sz w:val="18"/>
                <w:szCs w:val="18"/>
              </w:rPr>
            </w:pPr>
          </w:p>
        </w:tc>
        <w:tc>
          <w:tcPr>
            <w:tcW w:w="659" w:type="pct"/>
            <w:tcBorders>
              <w:tl2br w:val="nil"/>
              <w:tr2bl w:val="nil"/>
            </w:tcBorders>
            <w:shd w:val="clear" w:color="FFFF00" w:fill="auto"/>
            <w:vAlign w:val="center"/>
          </w:tcPr>
          <w:p>
            <w:pPr>
              <w:jc w:val="center"/>
              <w:rPr>
                <w:rFonts w:asciiTheme="minorEastAsia" w:hAnsiTheme="minorEastAsia"/>
                <w:sz w:val="18"/>
                <w:szCs w:val="18"/>
              </w:rPr>
            </w:pPr>
            <w:r>
              <w:rPr>
                <w:rFonts w:asciiTheme="minorEastAsia" w:hAnsiTheme="minorEastAsia"/>
                <w:sz w:val="18"/>
                <w:szCs w:val="18"/>
              </w:rPr>
              <w:t>2,762.70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4,385.78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33.3</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147.1</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180</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2,127.90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7.7421</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1,266.90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3,607.90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1.9868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2,445.60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4,966.10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5,305.29</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34.6</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239.3</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293.8</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1,701.70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29.145</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1,190.40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3,074.70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8.5688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2,344.50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4,373.40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2.02</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5,693.89</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82</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613.7</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766.5</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1,292.80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228.60</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1,108.00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2,484.10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85.53</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2,194.70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3,648.70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B</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4,209.70</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27.4</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115.4</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142</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2,842.70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2.2393</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1,941.30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4,896.30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0.579</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3,763.30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6,783.40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D</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4,145.38</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50.3</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187.3</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231.00</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2,398.80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8.9874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1,816.60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4,369.50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2.644</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3,585.20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6,238.10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F</w:t>
            </w:r>
          </w:p>
        </w:tc>
        <w:tc>
          <w:tcPr>
            <w:tcW w:w="412" w:type="pct"/>
            <w:vMerge w:val="restar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3.09</w:t>
            </w: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5,514.85</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75.2</w:t>
            </w:r>
          </w:p>
        </w:tc>
        <w:tc>
          <w:tcPr>
            <w:tcW w:w="660"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470.10</w:t>
            </w:r>
          </w:p>
        </w:tc>
        <w:tc>
          <w:tcPr>
            <w:tcW w:w="79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590.40</w:t>
            </w: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1,918.50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20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81.60</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1,688.80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3,695.30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4" w:hRule="atLeast"/>
          <w:jc w:val="center"/>
        </w:trPr>
        <w:tc>
          <w:tcPr>
            <w:tcW w:w="412" w:type="pct"/>
            <w:vMerge w:val="continue"/>
            <w:tcBorders>
              <w:tl2br w:val="nil"/>
              <w:tr2bl w:val="nil"/>
            </w:tcBorders>
            <w:vAlign w:val="center"/>
          </w:tcPr>
          <w:p>
            <w:pPr>
              <w:jc w:val="center"/>
              <w:rPr>
                <w:rFonts w:asciiTheme="minorEastAsia" w:hAnsiTheme="minorEastAsia"/>
                <w:sz w:val="18"/>
                <w:szCs w:val="18"/>
              </w:rPr>
            </w:pPr>
          </w:p>
        </w:tc>
        <w:tc>
          <w:tcPr>
            <w:tcW w:w="412" w:type="pct"/>
            <w:vMerge w:val="continue"/>
            <w:tcBorders>
              <w:tl2br w:val="nil"/>
              <w:tr2bl w:val="nil"/>
            </w:tcBorders>
            <w:vAlign w:val="center"/>
          </w:tcPr>
          <w:p>
            <w:pPr>
              <w:jc w:val="center"/>
              <w:rPr>
                <w:rFonts w:asciiTheme="minorEastAsia" w:hAnsiTheme="minorEastAsia"/>
                <w:sz w:val="18"/>
                <w:szCs w:val="18"/>
              </w:rPr>
            </w:pPr>
          </w:p>
        </w:tc>
        <w:tc>
          <w:tcPr>
            <w:tcW w:w="577"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w:t>
            </w:r>
          </w:p>
        </w:tc>
        <w:tc>
          <w:tcPr>
            <w:tcW w:w="762"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30.37</w:t>
            </w:r>
          </w:p>
        </w:tc>
        <w:tc>
          <w:tcPr>
            <w:tcW w:w="726"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3,346.20</w:t>
            </w:r>
          </w:p>
        </w:tc>
        <w:tc>
          <w:tcPr>
            <w:tcW w:w="660" w:type="pct"/>
            <w:tcBorders>
              <w:tl2br w:val="nil"/>
              <w:tr2bl w:val="nil"/>
            </w:tcBorders>
            <w:vAlign w:val="center"/>
          </w:tcPr>
          <w:p>
            <w:pPr>
              <w:jc w:val="center"/>
              <w:rPr>
                <w:rFonts w:asciiTheme="minorEastAsia" w:hAnsiTheme="minorEastAsia"/>
                <w:sz w:val="18"/>
                <w:szCs w:val="18"/>
              </w:rPr>
            </w:pPr>
          </w:p>
        </w:tc>
        <w:tc>
          <w:tcPr>
            <w:tcW w:w="792" w:type="pct"/>
            <w:tcBorders>
              <w:tl2br w:val="nil"/>
              <w:tr2bl w:val="nil"/>
            </w:tcBorders>
            <w:vAlign w:val="center"/>
          </w:tcPr>
          <w:p>
            <w:pPr>
              <w:jc w:val="center"/>
              <w:rPr>
                <w:rFonts w:asciiTheme="minorEastAsia" w:hAnsiTheme="minorEastAsia"/>
                <w:sz w:val="18"/>
                <w:szCs w:val="18"/>
              </w:rPr>
            </w:pPr>
          </w:p>
        </w:tc>
        <w:tc>
          <w:tcPr>
            <w:tcW w:w="659" w:type="pct"/>
            <w:tcBorders>
              <w:tl2br w:val="nil"/>
              <w:tr2bl w:val="nil"/>
            </w:tcBorders>
            <w:vAlign w:val="center"/>
          </w:tcPr>
          <w:p>
            <w:pPr>
              <w:jc w:val="center"/>
              <w:rPr>
                <w:rFonts w:asciiTheme="minorEastAsia" w:hAnsiTheme="minorEastAsia"/>
                <w:sz w:val="18"/>
                <w:szCs w:val="18"/>
              </w:rPr>
            </w:pPr>
            <w:r>
              <w:rPr>
                <w:rFonts w:asciiTheme="minorEastAsia" w:hAnsiTheme="minorEastAsia"/>
                <w:sz w:val="18"/>
                <w:szCs w:val="18"/>
              </w:rPr>
              <w:t>5,434.50</w:t>
            </w:r>
          </w:p>
        </w:tc>
      </w:tr>
    </w:tbl>
    <w:p>
      <w:pPr>
        <w:pStyle w:val="12"/>
        <w:rPr>
          <w:rFonts w:hint="default"/>
        </w:rPr>
      </w:pPr>
    </w:p>
    <w:p>
      <w:pPr>
        <w:rPr>
          <w:rFonts w:asciiTheme="minorEastAsia" w:hAnsiTheme="minorEastAsia"/>
          <w:sz w:val="24"/>
        </w:rPr>
      </w:pPr>
      <w:r>
        <w:rPr>
          <w:rFonts w:asciiTheme="minorEastAsia" w:hAnsiTheme="minorEastAsia"/>
          <w:sz w:val="24"/>
        </w:rPr>
        <w:drawing>
          <wp:inline distT="0" distB="0" distL="0" distR="0">
            <wp:extent cx="5266055" cy="3089275"/>
            <wp:effectExtent l="9525" t="9525" r="20320" b="25400"/>
            <wp:docPr id="1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0"/>
                    <pic:cNvPicPr>
                      <a:picLocks noChangeAspect="1" noChangeArrowheads="1"/>
                    </pic:cNvPicPr>
                  </pic:nvPicPr>
                  <pic:blipFill>
                    <a:blip r:embed="rId102" cstate="print"/>
                    <a:srcRect/>
                    <a:stretch>
                      <a:fillRect/>
                    </a:stretch>
                  </pic:blipFill>
                  <pic:spPr>
                    <a:xfrm>
                      <a:off x="0" y="0"/>
                      <a:ext cx="5266055" cy="3089275"/>
                    </a:xfrm>
                    <a:prstGeom prst="rect">
                      <a:avLst/>
                    </a:prstGeom>
                    <a:noFill/>
                    <a:ln w="9525" cmpd="sng">
                      <a:solidFill>
                        <a:srgbClr val="000000"/>
                      </a:solidFill>
                      <a:miter lim="800000"/>
                      <a:headEnd/>
                      <a:tailEnd/>
                    </a:ln>
                    <a:effectLst/>
                  </pic:spPr>
                </pic:pic>
              </a:graphicData>
            </a:graphic>
          </wp:inline>
        </w:drawing>
      </w:r>
    </w:p>
    <w:p>
      <w:pPr>
        <w:bidi w:val="0"/>
        <w:jc w:val="center"/>
        <w:rPr>
          <w:rFonts w:hint="default"/>
          <w:b/>
          <w:bCs/>
          <w:lang w:val="en-US" w:eastAsia="zh-CN"/>
        </w:rPr>
      </w:pPr>
      <w:bookmarkStart w:id="399" w:name="_Toc2120"/>
      <w:r>
        <w:rPr>
          <w:rFonts w:hint="default"/>
          <w:b/>
          <w:bCs/>
        </w:rPr>
        <w:t>图</w:t>
      </w:r>
      <w:r>
        <w:rPr>
          <w:rFonts w:hint="eastAsia"/>
          <w:b/>
          <w:bCs/>
          <w:lang w:val="en-US" w:eastAsia="zh-CN"/>
        </w:rPr>
        <w:t>5.5-5</w:t>
      </w:r>
      <w:r>
        <w:rPr>
          <w:rFonts w:hint="default"/>
          <w:b/>
          <w:bCs/>
        </w:rPr>
        <w:t>硫磺回收装置酸性气管线泄漏事故泄露影响包络线范围</w:t>
      </w:r>
    </w:p>
    <w:p>
      <w:pPr>
        <w:pStyle w:val="5"/>
        <w:bidi w:val="0"/>
        <w:rPr>
          <w:rFonts w:hint="default"/>
          <w:lang w:val="en-US" w:eastAsia="zh-CN"/>
        </w:rPr>
      </w:pPr>
      <w:bookmarkStart w:id="400" w:name="_Toc23285"/>
      <w:r>
        <w:rPr>
          <w:rFonts w:hint="eastAsia"/>
          <w:lang w:val="en-US" w:eastAsia="zh-CN"/>
        </w:rPr>
        <w:t>5</w:t>
      </w:r>
      <w:r>
        <w:rPr>
          <w:rFonts w:hint="default"/>
          <w:lang w:val="en-US" w:eastAsia="zh-CN"/>
        </w:rPr>
        <w:t>.</w:t>
      </w:r>
      <w:r>
        <w:rPr>
          <w:rFonts w:hint="eastAsia"/>
          <w:lang w:val="en-US" w:eastAsia="zh-CN"/>
        </w:rPr>
        <w:t>5</w:t>
      </w:r>
      <w:r>
        <w:rPr>
          <w:rFonts w:hint="default"/>
          <w:lang w:val="en-US" w:eastAsia="zh-CN"/>
        </w:rPr>
        <w:t>.6污水处理站运行</w:t>
      </w:r>
      <w:r>
        <w:rPr>
          <w:rFonts w:hint="eastAsia"/>
          <w:lang w:val="en-US" w:eastAsia="zh-CN"/>
        </w:rPr>
        <w:t>后果</w:t>
      </w:r>
      <w:r>
        <w:rPr>
          <w:rFonts w:hint="default"/>
          <w:lang w:val="en-US" w:eastAsia="zh-CN"/>
        </w:rPr>
        <w:t>分析</w:t>
      </w:r>
      <w:bookmarkEnd w:id="399"/>
      <w:bookmarkEnd w:id="400"/>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cs="Times New Roman"/>
          <w:sz w:val="24"/>
          <w:szCs w:val="20"/>
          <w:lang w:val="en-US" w:eastAsia="zh-CN"/>
        </w:rPr>
      </w:pPr>
      <w:r>
        <w:rPr>
          <w:rFonts w:hint="eastAsia" w:ascii="Times New Roman" w:hAnsi="Times New Roman" w:cs="Times New Roman"/>
          <w:sz w:val="24"/>
          <w:szCs w:val="20"/>
          <w:lang w:val="en-US" w:eastAsia="zh-CN"/>
        </w:rPr>
        <w:t>当污水处理站运行不正常，可能导致污水超标排放到管道，从而进入金桥污水处理厂。污水处理站污水排口设置污水在线监测设备并与环保管理部门联网，能够第一时间知道污水处理站处理情况；</w:t>
      </w:r>
      <w:r>
        <w:rPr>
          <w:rFonts w:hint="default" w:ascii="Times New Roman" w:hAnsi="Times New Roman" w:eastAsia="宋体" w:cs="Times New Roman"/>
          <w:kern w:val="0"/>
          <w:sz w:val="24"/>
          <w:highlight w:val="none"/>
          <w:lang w:val="en-US" w:eastAsia="zh-CN"/>
        </w:rPr>
        <w:t>目前</w:t>
      </w:r>
      <w:r>
        <w:rPr>
          <w:rFonts w:hint="default" w:ascii="Times New Roman" w:hAnsi="Times New Roman" w:eastAsia="宋体" w:cs="Times New Roman"/>
          <w:kern w:val="0"/>
          <w:sz w:val="24"/>
          <w:highlight w:val="none"/>
        </w:rPr>
        <w:t>公司建设了罐区围堤、装置围堰及雨污切换系统、11座污水提升池、3座5000m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污水调节罐和2座10000m</w:t>
      </w:r>
      <w:r>
        <w:rPr>
          <w:rFonts w:hint="default" w:ascii="Times New Roman" w:hAnsi="Times New Roman" w:eastAsia="宋体" w:cs="Times New Roman"/>
          <w:kern w:val="0"/>
          <w:sz w:val="24"/>
          <w:highlight w:val="none"/>
          <w:vertAlign w:val="superscript"/>
        </w:rPr>
        <w:t>3</w:t>
      </w:r>
      <w:r>
        <w:rPr>
          <w:rFonts w:hint="eastAsia" w:ascii="Times New Roman" w:hAnsi="Times New Roman" w:eastAsia="宋体" w:cs="Times New Roman"/>
          <w:kern w:val="0"/>
          <w:sz w:val="24"/>
          <w:highlight w:val="none"/>
          <w:lang w:val="en-US" w:eastAsia="zh-CN"/>
        </w:rPr>
        <w:t>污水调节水罐</w:t>
      </w:r>
      <w:r>
        <w:rPr>
          <w:rFonts w:hint="default" w:ascii="Times New Roman" w:hAnsi="Times New Roman" w:eastAsia="宋体" w:cs="Times New Roman"/>
          <w:kern w:val="0"/>
          <w:sz w:val="24"/>
          <w:highlight w:val="none"/>
        </w:rPr>
        <w:t>，总容积为35000m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。1座容积为15000m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的事故水收集池、利旧一座5000m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雨水池等三级防控系统</w:t>
      </w:r>
      <w:r>
        <w:rPr>
          <w:rFonts w:hint="eastAsia" w:ascii="Times New Roman" w:hAnsi="Times New Roman" w:cs="Times New Roman"/>
          <w:kern w:val="0"/>
          <w:sz w:val="24"/>
          <w:highlight w:val="none"/>
          <w:vertAlign w:val="baseline"/>
          <w:lang w:eastAsia="zh-CN"/>
        </w:rPr>
        <w:t>，</w:t>
      </w:r>
      <w:r>
        <w:rPr>
          <w:rFonts w:hint="default" w:ascii="Times New Roman" w:hAnsi="Times New Roman" w:cs="Times New Roman"/>
          <w:kern w:val="0"/>
          <w:sz w:val="24"/>
          <w:highlight w:val="none"/>
        </w:rPr>
        <w:t>确保事故状态下的污水全部处于受控状态。</w:t>
      </w:r>
      <w:r>
        <w:rPr>
          <w:rFonts w:hint="eastAsia" w:ascii="Times New Roman" w:hAnsi="Times New Roman" w:cs="Times New Roman"/>
          <w:sz w:val="24"/>
          <w:szCs w:val="20"/>
          <w:lang w:val="en-US" w:eastAsia="zh-CN"/>
        </w:rPr>
        <w:t>可能存在污水处理站运行不正常导致超标污水外排或污水处理站泄露污染周围环境，但不会造成重大环境突发事件。</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cs="Times New Roman"/>
          <w:sz w:val="24"/>
          <w:szCs w:val="20"/>
          <w:lang w:val="en-US" w:eastAsia="zh-CN"/>
        </w:rPr>
      </w:pPr>
      <w:r>
        <w:rPr>
          <w:rFonts w:hint="eastAsia" w:ascii="Times New Roman" w:hAnsi="Times New Roman" w:cs="Times New Roman"/>
          <w:sz w:val="24"/>
          <w:szCs w:val="20"/>
          <w:lang w:val="en-US" w:eastAsia="zh-CN"/>
        </w:rPr>
        <w:t>厂区污水处理场现有污水调节设施容积核算：</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cs="Times New Roman"/>
          <w:sz w:val="24"/>
          <w:szCs w:val="20"/>
          <w:lang w:val="en-US" w:eastAsia="zh-CN"/>
        </w:rPr>
      </w:pPr>
      <w:r>
        <w:rPr>
          <w:rFonts w:hint="eastAsia" w:ascii="Times New Roman" w:hAnsi="Times New Roman" w:cs="Times New Roman"/>
          <w:sz w:val="24"/>
          <w:szCs w:val="20"/>
          <w:lang w:val="en-US" w:eastAsia="zh-CN"/>
        </w:rPr>
        <w:t>依据《石油化工污水处理设计规范》GB50747-2012第5.2.2“调节设施容积，炼油污水可按16h~24h的设计水量确定；化工污水可按24h~48h的设计水量确定。”呼炼污水处理场设计水量为450m</w:t>
      </w:r>
      <w:r>
        <w:rPr>
          <w:rFonts w:hint="eastAsia" w:ascii="Times New Roman" w:hAnsi="Times New Roman" w:cs="Times New Roman"/>
          <w:sz w:val="24"/>
          <w:szCs w:val="20"/>
          <w:vertAlign w:val="superscript"/>
          <w:lang w:val="en-US" w:eastAsia="zh-CN"/>
        </w:rPr>
        <w:t>3</w:t>
      </w:r>
      <w:r>
        <w:rPr>
          <w:rFonts w:hint="eastAsia" w:ascii="Times New Roman" w:hAnsi="Times New Roman" w:cs="Times New Roman"/>
          <w:sz w:val="24"/>
          <w:szCs w:val="20"/>
          <w:lang w:val="en-US" w:eastAsia="zh-CN"/>
        </w:rPr>
        <w:t>/h,污水处理场调节设施容积450×48=21600m</w:t>
      </w:r>
      <w:r>
        <w:rPr>
          <w:rFonts w:hint="eastAsia" w:ascii="Times New Roman" w:hAnsi="Times New Roman" w:cs="Times New Roman"/>
          <w:sz w:val="24"/>
          <w:szCs w:val="20"/>
          <w:vertAlign w:val="superscript"/>
          <w:lang w:val="en-US" w:eastAsia="zh-CN"/>
        </w:rPr>
        <w:t>3</w:t>
      </w:r>
      <w:r>
        <w:rPr>
          <w:rFonts w:hint="eastAsia" w:ascii="Times New Roman" w:hAnsi="Times New Roman" w:cs="Times New Roman"/>
          <w:sz w:val="24"/>
          <w:szCs w:val="20"/>
          <w:lang w:val="en-US" w:eastAsia="zh-CN"/>
        </w:rPr>
        <w:t>。</w:t>
      </w:r>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default" w:ascii="Times New Roman" w:hAnsi="Times New Roman" w:cs="Times New Roman"/>
          <w:kern w:val="0"/>
          <w:sz w:val="24"/>
          <w:highlight w:val="none"/>
        </w:rPr>
      </w:pPr>
      <w:r>
        <w:rPr>
          <w:rFonts w:hint="eastAsia" w:ascii="Times New Roman" w:hAnsi="Times New Roman" w:cs="Times New Roman"/>
          <w:kern w:val="0"/>
          <w:sz w:val="24"/>
          <w:highlight w:val="none"/>
          <w:lang w:val="en-US" w:eastAsia="zh-CN"/>
        </w:rPr>
        <w:t>污水处理场现有污水调节设施满足规范要求。</w:t>
      </w:r>
    </w:p>
    <w:p>
      <w:pPr>
        <w:pStyle w:val="5"/>
        <w:bidi w:val="0"/>
        <w:rPr>
          <w:rFonts w:hint="default"/>
          <w:lang w:val="en-US" w:eastAsia="zh-CN"/>
        </w:rPr>
      </w:pPr>
      <w:bookmarkStart w:id="401" w:name="_Toc15800"/>
      <w:bookmarkStart w:id="402" w:name="_Toc16734"/>
      <w:r>
        <w:rPr>
          <w:rFonts w:hint="eastAsia"/>
          <w:lang w:val="en-US" w:eastAsia="zh-CN"/>
        </w:rPr>
        <w:t>5</w:t>
      </w:r>
      <w:r>
        <w:rPr>
          <w:rFonts w:hint="default"/>
          <w:lang w:val="en-US" w:eastAsia="zh-CN"/>
        </w:rPr>
        <w:t>.</w:t>
      </w:r>
      <w:r>
        <w:rPr>
          <w:rFonts w:hint="eastAsia"/>
          <w:lang w:val="en-US" w:eastAsia="zh-CN"/>
        </w:rPr>
        <w:t>5</w:t>
      </w:r>
      <w:r>
        <w:rPr>
          <w:rFonts w:hint="default"/>
          <w:lang w:val="en-US" w:eastAsia="zh-CN"/>
        </w:rPr>
        <w:t>.</w:t>
      </w:r>
      <w:r>
        <w:rPr>
          <w:rFonts w:hint="eastAsia"/>
          <w:lang w:val="en-US" w:eastAsia="zh-CN"/>
        </w:rPr>
        <w:t>7危险废物</w:t>
      </w:r>
      <w:r>
        <w:rPr>
          <w:rFonts w:hint="default"/>
          <w:lang w:val="en-US" w:eastAsia="zh-CN"/>
        </w:rPr>
        <w:t>事故</w:t>
      </w:r>
      <w:r>
        <w:rPr>
          <w:rFonts w:hint="eastAsia"/>
          <w:lang w:val="en-US" w:eastAsia="zh-CN"/>
        </w:rPr>
        <w:t>后果分析</w:t>
      </w:r>
      <w:bookmarkEnd w:id="401"/>
      <w:bookmarkEnd w:id="402"/>
    </w:p>
    <w:p>
      <w:pPr>
        <w:pageBreakBefore w:val="0"/>
        <w:widowControl w:val="0"/>
        <w:kinsoku/>
        <w:wordWrap/>
        <w:overflowPunct/>
        <w:topLinePunct w:val="0"/>
        <w:autoSpaceDE/>
        <w:autoSpaceDN/>
        <w:bidi w:val="0"/>
        <w:adjustRightInd/>
        <w:snapToGrid/>
        <w:spacing w:line="560" w:lineRule="exact"/>
        <w:ind w:firstLine="480" w:firstLineChars="200"/>
        <w:textAlignment w:val="auto"/>
        <w:rPr>
          <w:rFonts w:hint="eastAsia" w:ascii="Times New Roman" w:hAnsi="Times New Roman" w:cs="Times New Roman"/>
          <w:sz w:val="24"/>
          <w:szCs w:val="20"/>
          <w:lang w:val="en-US" w:eastAsia="zh-CN"/>
        </w:rPr>
      </w:pPr>
      <w:r>
        <w:rPr>
          <w:rFonts w:hint="eastAsia" w:ascii="Times New Roman" w:hAnsi="Times New Roman" w:cs="Times New Roman"/>
          <w:sz w:val="24"/>
          <w:szCs w:val="20"/>
          <w:lang w:val="en-US" w:eastAsia="zh-CN"/>
        </w:rPr>
        <w:t>本项目运营中产生多种危险废物，主要处理方式为委托资质单位处置；在危险废物厂内运输、储存过程中可能导致危险废物泄露、随意丢弃或不规范暂存现象，导致危险废物对土壤、周围地表水、地下水造成污染。</w:t>
      </w:r>
    </w:p>
    <w:p>
      <w:pPr>
        <w:pStyle w:val="5"/>
        <w:bidi w:val="0"/>
        <w:rPr>
          <w:rFonts w:hint="eastAsia"/>
          <w:lang w:val="en-US" w:eastAsia="zh-CN"/>
        </w:rPr>
      </w:pPr>
      <w:bookmarkStart w:id="403" w:name="_Toc8894"/>
      <w:r>
        <w:rPr>
          <w:rFonts w:hint="eastAsia"/>
          <w:lang w:val="en-US" w:eastAsia="zh-CN"/>
        </w:rPr>
        <w:t>5.5.8风险事故环境风险分析</w:t>
      </w:r>
      <w:bookmarkEnd w:id="403"/>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项目区如不采取相应的防范措施，项目区内储罐、设备及运输管线发生泄漏、事故后，由于泄露物料及消防水不能及时收集，可通过下渗及地下径流等对项目区及下游地区浅层地下水造成污染。</w:t>
      </w:r>
    </w:p>
    <w:p>
      <w:pPr>
        <w:pStyle w:val="6"/>
        <w:bidi w:val="0"/>
        <w:rPr>
          <w:rFonts w:hint="eastAsia"/>
        </w:rPr>
      </w:pPr>
      <w:r>
        <w:rPr>
          <w:rFonts w:hint="eastAsia"/>
        </w:rPr>
        <w:t>5.</w:t>
      </w:r>
      <w:r>
        <w:rPr>
          <w:rFonts w:hint="eastAsia"/>
          <w:lang w:val="en-US" w:eastAsia="zh-CN"/>
        </w:rPr>
        <w:t>5</w:t>
      </w:r>
      <w:r>
        <w:rPr>
          <w:rFonts w:hint="eastAsia"/>
        </w:rPr>
        <w:t>.</w:t>
      </w:r>
      <w:r>
        <w:rPr>
          <w:rFonts w:hint="eastAsia"/>
          <w:lang w:val="en-US" w:eastAsia="zh-CN"/>
        </w:rPr>
        <w:t>8</w:t>
      </w:r>
      <w:r>
        <w:rPr>
          <w:rFonts w:hint="eastAsia"/>
        </w:rPr>
        <w:t>.</w:t>
      </w:r>
      <w:r>
        <w:rPr>
          <w:rFonts w:hint="eastAsia"/>
          <w:lang w:val="en-US" w:eastAsia="zh-CN"/>
        </w:rPr>
        <w:t>1</w:t>
      </w:r>
      <w:r>
        <w:rPr>
          <w:rFonts w:hint="eastAsia"/>
        </w:rPr>
        <w:t xml:space="preserve"> 对土壤的风险影响分析</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项目建设对土壤产生影响的途径主要来自液体物料渗漏。项目装置区、罐区建设设计采取了较为完善的分区防渗措施，能有效降低液态物料泄漏对周围土壤环境产生影响。</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评价要求项目实施后加强生产管理， 工作人员进行工艺操作时应严格按照工艺要求，防止物料泄漏，污染土壤，危险废物严格按照贮存要求进入专门危废暂存区储存。经采取以上措施后，项目建设对周围土壤环境影响较小。</w:t>
      </w:r>
    </w:p>
    <w:p>
      <w:pPr>
        <w:pStyle w:val="6"/>
        <w:bidi w:val="0"/>
        <w:rPr>
          <w:rFonts w:hint="eastAsia"/>
        </w:rPr>
      </w:pPr>
      <w:r>
        <w:rPr>
          <w:rFonts w:hint="eastAsia"/>
        </w:rPr>
        <w:t>5.</w:t>
      </w:r>
      <w:r>
        <w:rPr>
          <w:rFonts w:hint="eastAsia"/>
          <w:lang w:val="en-US" w:eastAsia="zh-CN"/>
        </w:rPr>
        <w:t>5</w:t>
      </w:r>
      <w:r>
        <w:rPr>
          <w:rFonts w:hint="eastAsia"/>
        </w:rPr>
        <w:t>.</w:t>
      </w:r>
      <w:r>
        <w:rPr>
          <w:rFonts w:hint="eastAsia"/>
          <w:lang w:val="en-US" w:eastAsia="zh-CN"/>
        </w:rPr>
        <w:t>8</w:t>
      </w:r>
      <w:r>
        <w:rPr>
          <w:rFonts w:hint="eastAsia"/>
        </w:rPr>
        <w:t>.</w:t>
      </w:r>
      <w:r>
        <w:rPr>
          <w:rFonts w:hint="eastAsia"/>
          <w:lang w:val="en-US" w:eastAsia="zh-CN"/>
        </w:rPr>
        <w:t>2</w:t>
      </w:r>
      <w:r>
        <w:rPr>
          <w:rFonts w:hint="eastAsia"/>
        </w:rPr>
        <w:t xml:space="preserve"> 三级防控体系</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为杜绝生产装置发生环境风险事故时污水、消防水等携带物料进入排水系统，并且排至厂外，项目应建立环境风险事故三级防范措施。一级防控措施将污染物控制在储罐区、装置区；二级防控将污染物控制在排水系统事故应急储水池；三级防控将污染物控制在厂内的污水处理厂。</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⑴一级防控措施</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在储罐区应设置围堰（防火堤），围堰的容积应不小于该区域内最大装置物料全部泄漏时的泄漏量，并设事故导罐及事故导罐管线，在储罐发生事故时能够及时转送物料。</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⑵二级防控措装置区设置防渗层为至少1米厚粘土层（渗透系数≤10</w:t>
      </w:r>
      <w:r>
        <w:rPr>
          <w:rFonts w:hint="eastAsia" w:ascii="宋体" w:hAnsi="宋体" w:eastAsia="宋体" w:cs="宋体"/>
          <w:color w:val="auto"/>
          <w:sz w:val="24"/>
          <w:highlight w:val="none"/>
          <w:vertAlign w:val="superscript"/>
        </w:rPr>
        <w:t>-7</w:t>
      </w:r>
      <w:r>
        <w:rPr>
          <w:rFonts w:hint="eastAsia" w:ascii="宋体" w:hAnsi="宋体" w:eastAsia="宋体" w:cs="宋体"/>
          <w:color w:val="auto"/>
          <w:sz w:val="24"/>
          <w:highlight w:val="none"/>
        </w:rPr>
        <w:t>厘米/秒），或2毫米厚高密度聚乙烯，或至少2毫米厚的其它人工材料，渗透系数≤10</w:t>
      </w:r>
      <w:r>
        <w:rPr>
          <w:rFonts w:hint="eastAsia" w:ascii="宋体" w:hAnsi="宋体" w:eastAsia="宋体" w:cs="宋体"/>
          <w:color w:val="auto"/>
          <w:sz w:val="24"/>
          <w:highlight w:val="none"/>
          <w:vertAlign w:val="superscript"/>
        </w:rPr>
        <w:t>-10</w:t>
      </w:r>
      <w:r>
        <w:rPr>
          <w:rFonts w:hint="eastAsia" w:ascii="宋体" w:hAnsi="宋体" w:eastAsia="宋体" w:cs="宋体"/>
          <w:color w:val="auto"/>
          <w:sz w:val="24"/>
          <w:highlight w:val="none"/>
        </w:rPr>
        <w:t>厘米/秒，同时在事故暂存池增加防渗层以达到防渗目的。</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通过在罐区周围设置防火堤和围堰以收集事故泄露甲醇，事故池收集废水、冲洗水和消防水，收集的废水直接进入至污水系统，通过污水管网送到事故暂存池或废水站进行处理，避免排入外环境中。为防止灭火情况下，项目有毒、有害物料进入地表水体，进而造成重大污染事故，企业必须建容量足够的事故应急水池，该事故池应不小于设计的消防用水量-事故池内容积。根据现场调查，</w:t>
      </w:r>
      <w:r>
        <w:rPr>
          <w:rFonts w:hint="default" w:ascii="Times New Roman" w:hAnsi="Times New Roman" w:eastAsia="宋体" w:cs="Times New Roman"/>
          <w:kern w:val="0"/>
          <w:sz w:val="24"/>
          <w:highlight w:val="none"/>
          <w:lang w:val="en-US" w:eastAsia="zh-CN"/>
        </w:rPr>
        <w:t>目前</w:t>
      </w:r>
      <w:r>
        <w:rPr>
          <w:rFonts w:hint="default" w:ascii="Times New Roman" w:hAnsi="Times New Roman" w:eastAsia="宋体" w:cs="Times New Roman"/>
          <w:kern w:val="0"/>
          <w:sz w:val="24"/>
          <w:highlight w:val="none"/>
        </w:rPr>
        <w:t>公司建设了罐区围堤、装置围堰及雨污切换系统、11座污水提升池、3座5000m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污水调节罐和2座10000m</w:t>
      </w:r>
      <w:r>
        <w:rPr>
          <w:rFonts w:hint="default" w:ascii="Times New Roman" w:hAnsi="Times New Roman" w:eastAsia="宋体" w:cs="Times New Roman"/>
          <w:kern w:val="0"/>
          <w:sz w:val="24"/>
          <w:highlight w:val="none"/>
          <w:vertAlign w:val="superscript"/>
        </w:rPr>
        <w:t>3</w:t>
      </w:r>
      <w:r>
        <w:rPr>
          <w:rFonts w:hint="eastAsia" w:ascii="Times New Roman" w:hAnsi="Times New Roman" w:eastAsia="宋体" w:cs="Times New Roman"/>
          <w:kern w:val="0"/>
          <w:sz w:val="24"/>
          <w:highlight w:val="none"/>
          <w:lang w:val="en-US" w:eastAsia="zh-CN"/>
        </w:rPr>
        <w:t>污水调节水罐</w:t>
      </w:r>
      <w:r>
        <w:rPr>
          <w:rFonts w:hint="default" w:ascii="Times New Roman" w:hAnsi="Times New Roman" w:eastAsia="宋体" w:cs="Times New Roman"/>
          <w:kern w:val="0"/>
          <w:sz w:val="24"/>
          <w:highlight w:val="none"/>
        </w:rPr>
        <w:t>，总容积为35000m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。1座容积为15000m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的事故水收集池、利旧一座5000m</w:t>
      </w:r>
      <w:r>
        <w:rPr>
          <w:rFonts w:hint="default" w:ascii="Times New Roman" w:hAnsi="Times New Roman" w:eastAsia="宋体" w:cs="Times New Roman"/>
          <w:kern w:val="0"/>
          <w:sz w:val="24"/>
          <w:highlight w:val="none"/>
          <w:vertAlign w:val="superscript"/>
        </w:rPr>
        <w:t>3</w:t>
      </w:r>
      <w:r>
        <w:rPr>
          <w:rFonts w:hint="default" w:ascii="Times New Roman" w:hAnsi="Times New Roman" w:eastAsia="宋体" w:cs="Times New Roman"/>
          <w:kern w:val="0"/>
          <w:sz w:val="24"/>
          <w:highlight w:val="none"/>
        </w:rPr>
        <w:t>雨水池等三级防控系统</w:t>
      </w:r>
      <w:r>
        <w:rPr>
          <w:rFonts w:hint="eastAsia" w:ascii="宋体" w:hAnsi="宋体" w:eastAsia="宋体" w:cs="宋体"/>
          <w:color w:val="auto"/>
          <w:sz w:val="24"/>
          <w:highlight w:val="none"/>
        </w:rPr>
        <w:t>，可以满足事故废水的储存。同时，厂内雨、污管网必须有通往本池的导入口。一旦发生事故，立即打开通向本池的所有连接口，将事故废水引入，并立即关闭出厂雨、污管道，以杜绝事故废水外流。企业必须做好事故应急水池的日常维护工作，保证其处于空池状态。总之项目必须确保异常状况下，事故废水只能导入厂内事故水池，不得以任何形式在无害化处理前排入周边地表水体。此外，企业必须有预备方案，即在发生重特大火灾的情况下(灭火时间超过6h)迅速挖掘围堰以贮备消防废水的快速应急方法。</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⑶三级防控措施</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装置区、储罐区设置初期雨水及消防排水收集系统，排水收集系统由排水沟、集水井和切换阀门组成，装置区、罐区内初期雨水和后期雨水由切换阀门分别引入厂区污水管线和雨水管线，系统初期雨水及消防排水经收集后汇入厂区污水管线排入厂区事故污水池收集，然后送入污水处理系统处理。</w:t>
      </w:r>
      <w:r>
        <w:rPr>
          <w:rFonts w:hint="eastAsia" w:ascii="宋体" w:hAnsi="宋体" w:eastAsia="宋体" w:cs="宋体"/>
          <w:color w:val="auto"/>
          <w:sz w:val="24"/>
          <w:highlight w:val="none"/>
          <w:lang w:val="en-US" w:eastAsia="zh-CN"/>
        </w:rPr>
        <w:t>事故存液装置应设置污水提升泵，将事故污水送至厂区污水处理场进行处理</w:t>
      </w:r>
      <w:r>
        <w:rPr>
          <w:rFonts w:hint="eastAsia" w:ascii="宋体" w:hAnsi="宋体" w:eastAsia="宋体" w:cs="宋体"/>
          <w:color w:val="auto"/>
          <w:sz w:val="24"/>
          <w:highlight w:val="none"/>
        </w:rPr>
        <w:t>。应设置迅速切断事故排水直接外排并使其进入储存设施的措施。</w:t>
      </w:r>
    </w:p>
    <w:p>
      <w:pPr>
        <w:pStyle w:val="6"/>
        <w:bidi w:val="0"/>
        <w:rPr>
          <w:rFonts w:hint="eastAsia"/>
        </w:rPr>
      </w:pPr>
      <w:r>
        <w:rPr>
          <w:rFonts w:hint="eastAsia"/>
        </w:rPr>
        <w:t>5.</w:t>
      </w:r>
      <w:r>
        <w:rPr>
          <w:rFonts w:hint="eastAsia"/>
          <w:lang w:val="en-US" w:eastAsia="zh-CN"/>
        </w:rPr>
        <w:t>5</w:t>
      </w:r>
      <w:r>
        <w:rPr>
          <w:rFonts w:hint="eastAsia"/>
        </w:rPr>
        <w:t>.</w:t>
      </w:r>
      <w:r>
        <w:rPr>
          <w:rFonts w:hint="eastAsia"/>
          <w:lang w:val="en-US" w:eastAsia="zh-CN"/>
        </w:rPr>
        <w:t>8</w:t>
      </w:r>
      <w:r>
        <w:rPr>
          <w:rFonts w:hint="eastAsia"/>
        </w:rPr>
        <w:t>.</w:t>
      </w:r>
      <w:r>
        <w:rPr>
          <w:rFonts w:hint="eastAsia"/>
          <w:lang w:val="en-US" w:eastAsia="zh-CN"/>
        </w:rPr>
        <w:t>3</w:t>
      </w:r>
      <w:r>
        <w:rPr>
          <w:rFonts w:hint="eastAsia"/>
        </w:rPr>
        <w:t>突发环境事件可能产生的次生和衍生后果分析</w:t>
      </w:r>
    </w:p>
    <w:p>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废气处理设施出现故障可能导致废气的事故排放。突发性火灾爆炸伴生和次生有毒有害气体会对周边大气环境造成重大危害。一般情况下厂区事故造成的泄漏物、事故伴生/次生消防水流入事故应急池，事故结束后由罐车外运处理。</w:t>
      </w:r>
    </w:p>
    <w:p>
      <w:pPr>
        <w:pStyle w:val="3"/>
        <w:bidi w:val="0"/>
        <w:rPr>
          <w:rFonts w:hint="eastAsia" w:ascii="宋体" w:hAnsi="宋体" w:eastAsia="宋体" w:cs="宋体"/>
        </w:rPr>
      </w:pPr>
      <w:r>
        <w:rPr>
          <w:rFonts w:hint="eastAsia" w:ascii="宋体" w:hAnsi="宋体" w:eastAsia="宋体" w:cs="宋体"/>
          <w:color w:val="auto"/>
          <w:sz w:val="24"/>
          <w:highlight w:val="none"/>
        </w:rPr>
        <w:br w:type="page"/>
      </w:r>
      <w:bookmarkStart w:id="404" w:name="_Toc27366"/>
      <w:bookmarkStart w:id="405" w:name="_Toc7572"/>
      <w:bookmarkStart w:id="406" w:name="_Toc25289"/>
      <w:bookmarkStart w:id="407" w:name="_Toc4706"/>
      <w:bookmarkStart w:id="408" w:name="_Toc18026"/>
      <w:bookmarkStart w:id="409" w:name="_Toc6954"/>
      <w:bookmarkStart w:id="410" w:name="_Toc4977"/>
      <w:bookmarkStart w:id="411" w:name="_Toc260658476"/>
      <w:r>
        <w:rPr>
          <w:rFonts w:hint="eastAsia" w:ascii="宋体" w:hAnsi="宋体" w:eastAsia="宋体" w:cs="宋体"/>
          <w:lang w:val="en-US" w:eastAsia="zh-CN"/>
        </w:rPr>
        <w:t>6</w:t>
      </w:r>
      <w:r>
        <w:rPr>
          <w:rFonts w:hint="eastAsia" w:ascii="宋体" w:hAnsi="宋体" w:eastAsia="宋体" w:cs="宋体"/>
        </w:rPr>
        <w:t>现有环境风险防控和应急措施差距分析</w:t>
      </w:r>
      <w:bookmarkEnd w:id="404"/>
      <w:bookmarkEnd w:id="405"/>
      <w:bookmarkEnd w:id="406"/>
      <w:bookmarkEnd w:id="407"/>
      <w:bookmarkEnd w:id="408"/>
      <w:bookmarkEnd w:id="409"/>
      <w:bookmarkEnd w:id="410"/>
    </w:p>
    <w:bookmarkEnd w:id="411"/>
    <w:p>
      <w:pPr>
        <w:spacing w:line="500" w:lineRule="exact"/>
        <w:ind w:left="0" w:firstLine="480" w:firstLineChars="200"/>
        <w:rPr>
          <w:rFonts w:hint="eastAsia" w:ascii="宋体" w:hAnsi="宋体" w:eastAsia="宋体" w:cs="宋体"/>
          <w:color w:val="auto"/>
          <w:sz w:val="24"/>
          <w:lang w:val="zh-CN" w:eastAsia="zh-CN"/>
        </w:rPr>
      </w:pPr>
      <w:bookmarkStart w:id="412" w:name="_Toc3114"/>
      <w:bookmarkStart w:id="413" w:name="_Toc26159"/>
      <w:bookmarkStart w:id="414" w:name="_Toc5661"/>
      <w:bookmarkStart w:id="415" w:name="_Toc9240"/>
      <w:bookmarkStart w:id="416" w:name="_Toc28301"/>
      <w:r>
        <w:rPr>
          <w:rFonts w:hint="eastAsia" w:ascii="宋体" w:hAnsi="宋体" w:eastAsia="宋体" w:cs="宋体"/>
          <w:color w:val="auto"/>
          <w:sz w:val="24"/>
          <w:lang w:val="zh-CN" w:eastAsia="zh-CN"/>
        </w:rPr>
        <w:t>本章主要从环境风险管理制度、环境风险防控与应急措施、环境应急资源、历史经验教训总结和需要整改的短期、中期和长期项目内容等五个方面对现有环境风险防控与应急措施的完备性、可靠性和有效性进行分析论证，找出差距、问题，提出需要整改的短期、中期和长期项目内容。</w:t>
      </w:r>
    </w:p>
    <w:p>
      <w:pPr>
        <w:pStyle w:val="4"/>
        <w:bidi w:val="0"/>
        <w:rPr>
          <w:rFonts w:hint="eastAsia" w:ascii="宋体" w:hAnsi="宋体" w:eastAsia="宋体" w:cs="宋体"/>
        </w:rPr>
      </w:pPr>
      <w:bookmarkStart w:id="417" w:name="_Toc19189"/>
      <w:bookmarkStart w:id="418" w:name="_Toc2700"/>
      <w:r>
        <w:rPr>
          <w:rFonts w:hint="eastAsia" w:ascii="宋体" w:hAnsi="宋体" w:eastAsia="宋体" w:cs="宋体"/>
          <w:lang w:val="en-US" w:eastAsia="zh-CN"/>
        </w:rPr>
        <w:t>6</w:t>
      </w:r>
      <w:r>
        <w:rPr>
          <w:rFonts w:hint="eastAsia" w:ascii="宋体" w:hAnsi="宋体" w:eastAsia="宋体" w:cs="宋体"/>
        </w:rPr>
        <w:t>.1环境风险管理制度</w:t>
      </w:r>
      <w:bookmarkEnd w:id="412"/>
      <w:bookmarkEnd w:id="413"/>
      <w:bookmarkEnd w:id="414"/>
      <w:bookmarkEnd w:id="415"/>
      <w:bookmarkEnd w:id="416"/>
      <w:bookmarkEnd w:id="417"/>
      <w:bookmarkEnd w:id="418"/>
    </w:p>
    <w:p>
      <w:pPr>
        <w:jc w:val="center"/>
        <w:rPr>
          <w:rFonts w:hint="eastAsia" w:ascii="Times New Roman" w:hAnsi="黑体" w:eastAsia="黑体" w:cs="Times New Roman"/>
          <w:color w:val="auto"/>
          <w:sz w:val="24"/>
          <w:szCs w:val="24"/>
          <w:highlight w:val="none"/>
          <w:lang w:val="zh-CN" w:eastAsia="zh-CN"/>
        </w:rPr>
      </w:pPr>
      <w:r>
        <w:rPr>
          <w:rFonts w:hint="eastAsia" w:ascii="Times New Roman" w:hAnsi="黑体" w:eastAsia="黑体" w:cs="Times New Roman"/>
          <w:color w:val="auto"/>
          <w:sz w:val="24"/>
          <w:szCs w:val="24"/>
          <w:highlight w:val="none"/>
          <w:lang w:val="zh-CN" w:eastAsia="zh-CN"/>
        </w:rPr>
        <w:t>表</w:t>
      </w:r>
      <w:r>
        <w:rPr>
          <w:rFonts w:hint="eastAsia" w:ascii="Times New Roman" w:hAnsi="黑体" w:eastAsia="黑体" w:cs="Times New Roman"/>
          <w:color w:val="auto"/>
          <w:sz w:val="24"/>
          <w:szCs w:val="24"/>
          <w:highlight w:val="none"/>
          <w:lang w:val="en-US" w:eastAsia="zh-CN"/>
        </w:rPr>
        <w:t>6</w:t>
      </w:r>
      <w:r>
        <w:rPr>
          <w:rFonts w:hint="eastAsia" w:ascii="Times New Roman" w:hAnsi="黑体" w:eastAsia="黑体" w:cs="Times New Roman"/>
          <w:color w:val="auto"/>
          <w:sz w:val="24"/>
          <w:szCs w:val="24"/>
          <w:highlight w:val="none"/>
          <w:lang w:val="zh-CN" w:eastAsia="zh-CN"/>
        </w:rPr>
        <w:t>.1-1 环境风险管理制度对照表</w:t>
      </w:r>
    </w:p>
    <w:tbl>
      <w:tblPr>
        <w:tblStyle w:val="2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9"/>
        <w:gridCol w:w="3074"/>
        <w:gridCol w:w="1680"/>
        <w:gridCol w:w="30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b/>
                <w:color w:val="auto"/>
                <w:spacing w:val="-4"/>
                <w:sz w:val="21"/>
                <w:szCs w:val="21"/>
                <w:highlight w:val="none"/>
              </w:rPr>
              <w:t>序号</w:t>
            </w:r>
          </w:p>
        </w:tc>
        <w:tc>
          <w:tcPr>
            <w:tcW w:w="3074"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b/>
                <w:color w:val="auto"/>
                <w:spacing w:val="-4"/>
                <w:sz w:val="21"/>
                <w:szCs w:val="21"/>
                <w:highlight w:val="none"/>
              </w:rPr>
              <w:t>环境风险管理制度</w:t>
            </w:r>
          </w:p>
        </w:tc>
        <w:tc>
          <w:tcPr>
            <w:tcW w:w="1680"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b/>
                <w:color w:val="auto"/>
                <w:spacing w:val="-4"/>
                <w:sz w:val="21"/>
                <w:szCs w:val="21"/>
                <w:highlight w:val="none"/>
              </w:rPr>
            </w:pPr>
            <w:r>
              <w:rPr>
                <w:rFonts w:hint="eastAsia" w:ascii="宋体" w:hAnsi="宋体" w:eastAsia="宋体" w:cs="宋体"/>
                <w:b/>
                <w:color w:val="auto"/>
                <w:spacing w:val="-4"/>
                <w:sz w:val="21"/>
                <w:szCs w:val="21"/>
                <w:highlight w:val="none"/>
              </w:rPr>
              <w:t>本企业</w:t>
            </w:r>
          </w:p>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b/>
                <w:color w:val="auto"/>
                <w:spacing w:val="-4"/>
                <w:sz w:val="21"/>
                <w:szCs w:val="21"/>
                <w:highlight w:val="none"/>
              </w:rPr>
              <w:t>是否建立</w:t>
            </w:r>
          </w:p>
        </w:tc>
        <w:tc>
          <w:tcPr>
            <w:tcW w:w="305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b/>
                <w:color w:val="auto"/>
                <w:spacing w:val="-4"/>
                <w:sz w:val="21"/>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1</w:t>
            </w:r>
          </w:p>
        </w:tc>
        <w:tc>
          <w:tcPr>
            <w:tcW w:w="3074"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环境风险防控制度</w:t>
            </w:r>
          </w:p>
        </w:tc>
        <w:tc>
          <w:tcPr>
            <w:tcW w:w="1680"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cs="宋体"/>
                <w:color w:val="auto"/>
                <w:spacing w:val="-4"/>
                <w:sz w:val="21"/>
                <w:szCs w:val="21"/>
                <w:highlight w:val="none"/>
                <w:lang w:eastAsia="zh-CN"/>
              </w:rPr>
              <w:t>已</w:t>
            </w:r>
            <w:r>
              <w:rPr>
                <w:rFonts w:hint="eastAsia" w:ascii="宋体" w:hAnsi="宋体" w:eastAsia="宋体" w:cs="宋体"/>
                <w:color w:val="auto"/>
                <w:spacing w:val="-4"/>
                <w:sz w:val="21"/>
                <w:szCs w:val="21"/>
                <w:highlight w:val="none"/>
              </w:rPr>
              <w:t>建立</w:t>
            </w:r>
          </w:p>
        </w:tc>
        <w:tc>
          <w:tcPr>
            <w:tcW w:w="305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本企业配备有风险防控必须的应急设备，但相关制度待完善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2</w:t>
            </w:r>
          </w:p>
        </w:tc>
        <w:tc>
          <w:tcPr>
            <w:tcW w:w="3074"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应急措施制度</w:t>
            </w:r>
          </w:p>
        </w:tc>
        <w:tc>
          <w:tcPr>
            <w:tcW w:w="1680"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已建立</w:t>
            </w:r>
          </w:p>
        </w:tc>
        <w:tc>
          <w:tcPr>
            <w:tcW w:w="305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本企业设置有企业内部应急组织，应急措施制度比较完善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3</w:t>
            </w:r>
          </w:p>
        </w:tc>
        <w:tc>
          <w:tcPr>
            <w:tcW w:w="3074"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环境风险防控重点岗位的责任或责任机构</w:t>
            </w:r>
          </w:p>
        </w:tc>
        <w:tc>
          <w:tcPr>
            <w:tcW w:w="1680"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已明确</w:t>
            </w:r>
          </w:p>
        </w:tc>
        <w:tc>
          <w:tcPr>
            <w:tcW w:w="305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本企业已建立安全防控重点责任制，但环境风险防控责任制度还未完善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4</w:t>
            </w:r>
          </w:p>
        </w:tc>
        <w:tc>
          <w:tcPr>
            <w:tcW w:w="3074"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定期巡检和维护责任制度</w:t>
            </w:r>
          </w:p>
        </w:tc>
        <w:tc>
          <w:tcPr>
            <w:tcW w:w="1680"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已建立</w:t>
            </w:r>
          </w:p>
        </w:tc>
        <w:tc>
          <w:tcPr>
            <w:tcW w:w="305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已建立定期巡检和维护责任制度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5</w:t>
            </w:r>
          </w:p>
        </w:tc>
        <w:tc>
          <w:tcPr>
            <w:tcW w:w="3074"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环评及批复文件的各项环境风险防控和应急措施要求</w:t>
            </w:r>
          </w:p>
        </w:tc>
        <w:tc>
          <w:tcPr>
            <w:tcW w:w="1680"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pacing w:val="-4"/>
                <w:sz w:val="21"/>
                <w:szCs w:val="21"/>
                <w:highlight w:val="none"/>
              </w:rPr>
              <w:t>已落实</w:t>
            </w:r>
          </w:p>
        </w:tc>
        <w:tc>
          <w:tcPr>
            <w:tcW w:w="305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已落实环评及批复文件的各项环境风险防控和应急措施要求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6</w:t>
            </w:r>
          </w:p>
        </w:tc>
        <w:tc>
          <w:tcPr>
            <w:tcW w:w="3074"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经常对职工开展环境风险和环境应急管理宣传和培训</w:t>
            </w:r>
          </w:p>
        </w:tc>
        <w:tc>
          <w:tcPr>
            <w:tcW w:w="1680"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pacing w:val="-4"/>
                <w:sz w:val="21"/>
                <w:szCs w:val="21"/>
                <w:highlight w:val="none"/>
              </w:rPr>
              <w:t>已落实</w:t>
            </w:r>
          </w:p>
        </w:tc>
        <w:tc>
          <w:tcPr>
            <w:tcW w:w="305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企业对职工定期开展环境风险和环境应急管理传宣和培训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7</w:t>
            </w:r>
          </w:p>
        </w:tc>
        <w:tc>
          <w:tcPr>
            <w:tcW w:w="3074"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zh-CN" w:eastAsia="zh-CN"/>
              </w:rPr>
            </w:pPr>
            <w:r>
              <w:rPr>
                <w:rFonts w:hint="eastAsia" w:ascii="宋体" w:hAnsi="宋体" w:eastAsia="宋体" w:cs="宋体"/>
                <w:color w:val="auto"/>
                <w:spacing w:val="-4"/>
                <w:sz w:val="21"/>
                <w:szCs w:val="21"/>
                <w:highlight w:val="none"/>
              </w:rPr>
              <w:t>突发环境事件信息报告制度</w:t>
            </w:r>
          </w:p>
        </w:tc>
        <w:tc>
          <w:tcPr>
            <w:tcW w:w="1680"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pacing w:val="-4"/>
                <w:sz w:val="21"/>
                <w:szCs w:val="21"/>
                <w:highlight w:val="none"/>
              </w:rPr>
              <w:t>已建立</w:t>
            </w:r>
          </w:p>
        </w:tc>
        <w:tc>
          <w:tcPr>
            <w:tcW w:w="3059" w:type="dxa"/>
            <w:tcBorders>
              <w:tl2br w:val="nil"/>
              <w:tr2bl w:val="nil"/>
            </w:tcBorders>
            <w:noWrap w:val="0"/>
            <w:vAlign w:val="center"/>
          </w:tcPr>
          <w:p>
            <w:pPr>
              <w:keepNext/>
              <w:keepLines/>
              <w:tabs>
                <w:tab w:val="left" w:pos="1727"/>
                <w:tab w:val="left" w:pos="1884"/>
                <w:tab w:val="left" w:pos="2940"/>
              </w:tabs>
              <w:adjustRightInd w:val="0"/>
              <w:snapToGrid w:val="0"/>
              <w:spacing w:line="0" w:lineRule="atLeast"/>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pacing w:val="-4"/>
                <w:sz w:val="21"/>
                <w:szCs w:val="21"/>
                <w:highlight w:val="none"/>
              </w:rPr>
              <w:t>本企业已建立突发环境事件信息报告制度</w:t>
            </w:r>
          </w:p>
        </w:tc>
      </w:tr>
    </w:tbl>
    <w:p>
      <w:pPr>
        <w:pStyle w:val="4"/>
        <w:bidi w:val="0"/>
        <w:rPr>
          <w:rFonts w:hint="eastAsia"/>
        </w:rPr>
      </w:pPr>
      <w:bookmarkStart w:id="419" w:name="_Toc28288"/>
      <w:bookmarkStart w:id="420" w:name="_Toc3259"/>
      <w:bookmarkStart w:id="421" w:name="_Toc20870"/>
      <w:bookmarkStart w:id="422" w:name="_Toc30171"/>
      <w:r>
        <w:rPr>
          <w:rFonts w:hint="eastAsia"/>
          <w:lang w:val="en-US" w:eastAsia="zh-CN"/>
        </w:rPr>
        <w:t>6</w:t>
      </w:r>
      <w:r>
        <w:rPr>
          <w:rFonts w:hint="default"/>
        </w:rPr>
        <w:t>.</w:t>
      </w:r>
      <w:r>
        <w:rPr>
          <w:rFonts w:hint="eastAsia"/>
        </w:rPr>
        <w:t>2环境风险防控与应急措施</w:t>
      </w:r>
      <w:bookmarkEnd w:id="419"/>
      <w:bookmarkEnd w:id="420"/>
      <w:bookmarkEnd w:id="421"/>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hAnsi="Times New Roman" w:eastAsia="宋体" w:cs="Times New Roman"/>
          <w:snapToGrid w:val="0"/>
          <w:kern w:val="0"/>
        </w:rPr>
        <w:t>（</w:t>
      </w:r>
      <w:r>
        <w:rPr>
          <w:rFonts w:hint="eastAsia" w:ascii="Times New Roman" w:cs="Times New Roman"/>
          <w:snapToGrid w:val="0"/>
          <w:kern w:val="0"/>
          <w:lang w:val="en-US" w:eastAsia="zh-CN"/>
        </w:rPr>
        <w:t>1</w:t>
      </w:r>
      <w:r>
        <w:rPr>
          <w:rFonts w:hint="eastAsia" w:ascii="Times New Roman" w:hAnsi="Times New Roman" w:eastAsia="宋体" w:cs="Times New Roman"/>
          <w:snapToGrid w:val="0"/>
          <w:kern w:val="0"/>
        </w:rPr>
        <w:t>）自动控制</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cs="Times New Roman"/>
          <w:snapToGrid w:val="0"/>
          <w:kern w:val="0"/>
          <w:lang w:eastAsia="zh-CN"/>
        </w:rPr>
        <w:t>油品部</w:t>
      </w:r>
      <w:r>
        <w:rPr>
          <w:rFonts w:hint="eastAsia" w:ascii="Times New Roman" w:hAnsi="Times New Roman" w:eastAsia="宋体" w:cs="Times New Roman"/>
          <w:snapToGrid w:val="0"/>
          <w:kern w:val="0"/>
        </w:rPr>
        <w:t>目前在用DCS控制回路共计86个，其中28个控制回路由于工艺原因或间歇使用特征不参与统计自动控制率100%。</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hAnsi="Times New Roman" w:eastAsia="宋体" w:cs="Times New Roman"/>
          <w:snapToGrid w:val="0"/>
          <w:kern w:val="0"/>
        </w:rPr>
        <w:t>（</w:t>
      </w:r>
      <w:r>
        <w:rPr>
          <w:rFonts w:hint="eastAsia" w:ascii="Times New Roman" w:cs="Times New Roman"/>
          <w:snapToGrid w:val="0"/>
          <w:kern w:val="0"/>
          <w:lang w:val="en-US" w:eastAsia="zh-CN"/>
        </w:rPr>
        <w:t>2</w:t>
      </w:r>
      <w:r>
        <w:rPr>
          <w:rFonts w:hint="eastAsia" w:ascii="Times New Roman" w:hAnsi="Times New Roman" w:eastAsia="宋体" w:cs="Times New Roman"/>
          <w:snapToGrid w:val="0"/>
          <w:kern w:val="0"/>
        </w:rPr>
        <w:t>）泄漏检测系统</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cs="Times New Roman"/>
          <w:snapToGrid w:val="0"/>
          <w:kern w:val="0"/>
          <w:lang w:eastAsia="zh-CN"/>
        </w:rPr>
        <w:t>油品部</w:t>
      </w:r>
      <w:r>
        <w:rPr>
          <w:rFonts w:hint="eastAsia" w:ascii="Times New Roman" w:hAnsi="Times New Roman" w:eastAsia="宋体" w:cs="Times New Roman"/>
          <w:snapToGrid w:val="0"/>
          <w:kern w:val="0"/>
        </w:rPr>
        <w:t>现有储罐102具，为加强储罐泄漏检测，公司为除液化气球罐（16具），新三万立（4具），十万立（4具）外的78具储罐安装了感应式罐底泄漏检测设施，并将监测数据传送至DCS监控画面，实现了实时监控。</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hAnsi="Times New Roman" w:eastAsia="宋体" w:cs="Times New Roman"/>
          <w:snapToGrid w:val="0"/>
          <w:kern w:val="0"/>
        </w:rPr>
        <w:t>（</w:t>
      </w:r>
      <w:r>
        <w:rPr>
          <w:rFonts w:hint="eastAsia" w:ascii="Times New Roman" w:cs="Times New Roman"/>
          <w:snapToGrid w:val="0"/>
          <w:kern w:val="0"/>
          <w:lang w:val="en-US" w:eastAsia="zh-CN"/>
        </w:rPr>
        <w:t>3</w:t>
      </w:r>
      <w:r>
        <w:rPr>
          <w:rFonts w:hint="eastAsia" w:ascii="Times New Roman" w:hAnsi="Times New Roman" w:eastAsia="宋体" w:cs="Times New Roman"/>
          <w:snapToGrid w:val="0"/>
          <w:kern w:val="0"/>
        </w:rPr>
        <w:t>）事故紧急截断措施</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hAnsi="Times New Roman" w:eastAsia="宋体" w:cs="Times New Roman"/>
          <w:snapToGrid w:val="0"/>
          <w:kern w:val="0"/>
        </w:rPr>
        <w:t>组分三罐区（5具储罐已完成进、出口管线阀门紧急切断阀改造），新三万立罐区（4具储罐进出口阀门具备紧急切断阀门功能），除10万立原油储罐（4具）外的96具储罐，进罐管道采用气动阀控制，可实现事故状态紧急切断。除液化气球罐（16具）外的86具储罐出油管道采用电动阀控制，可实现事故状态快速切断。</w:t>
      </w:r>
    </w:p>
    <w:p>
      <w:pPr>
        <w:pStyle w:val="37"/>
        <w:pageBreakBefore w:val="0"/>
        <w:kinsoku/>
        <w:wordWrap/>
        <w:overflowPunct/>
        <w:topLinePunct w:val="0"/>
        <w:autoSpaceDE/>
        <w:autoSpaceDN/>
        <w:bidi w:val="0"/>
        <w:adjustRightInd/>
        <w:spacing w:after="0" w:afterLines="0" w:line="560" w:lineRule="exact"/>
        <w:textAlignment w:val="auto"/>
        <w:rPr>
          <w:rFonts w:hint="eastAsia" w:ascii="Times New Roman" w:hAnsi="Times New Roman" w:eastAsia="宋体" w:cs="Times New Roman"/>
          <w:snapToGrid w:val="0"/>
          <w:kern w:val="0"/>
        </w:rPr>
      </w:pPr>
      <w:r>
        <w:rPr>
          <w:rFonts w:hint="eastAsia" w:ascii="Times New Roman" w:hAnsi="Times New Roman" w:eastAsia="宋体" w:cs="Times New Roman"/>
          <w:snapToGrid w:val="0"/>
          <w:kern w:val="0"/>
          <w:lang w:val="en-US" w:eastAsia="zh-CN"/>
        </w:rPr>
        <w:t>（4）事故废水</w:t>
      </w:r>
      <w:r>
        <w:rPr>
          <w:rFonts w:hint="eastAsia" w:ascii="Times New Roman" w:hAnsi="Times New Roman" w:eastAsia="宋体" w:cs="Times New Roman"/>
          <w:snapToGrid w:val="0"/>
          <w:kern w:val="0"/>
        </w:rPr>
        <w:t>三级防控系统</w:t>
      </w:r>
    </w:p>
    <w:p>
      <w:pPr>
        <w:spacing w:line="360" w:lineRule="auto"/>
        <w:ind w:firstLine="480" w:firstLineChars="200"/>
        <w:rPr>
          <w:rFonts w:asciiTheme="minorEastAsia" w:hAnsiTheme="minorEastAsia"/>
          <w:sz w:val="24"/>
        </w:rPr>
      </w:pPr>
      <w:r>
        <w:rPr>
          <w:rFonts w:hint="eastAsia" w:ascii="Times New Roman" w:hAnsi="Times New Roman" w:cs="Times New Roman"/>
          <w:kern w:val="0"/>
          <w:sz w:val="24"/>
          <w:highlight w:val="none"/>
          <w:lang w:val="en-US" w:eastAsia="zh-CN"/>
        </w:rPr>
        <w:t>目前</w:t>
      </w:r>
      <w:r>
        <w:rPr>
          <w:rFonts w:hint="default" w:ascii="Times New Roman" w:hAnsi="Times New Roman" w:cs="Times New Roman"/>
          <w:kern w:val="0"/>
          <w:sz w:val="24"/>
          <w:highlight w:val="none"/>
        </w:rPr>
        <w:t>公司建设了罐区围堤、装置围堰及雨污切换系统、11座污水提升池、3座5000m</w:t>
      </w:r>
      <w:r>
        <w:rPr>
          <w:rFonts w:hint="default" w:ascii="Times New Roman" w:hAnsi="Times New Roman" w:cs="Times New Roman"/>
          <w:kern w:val="0"/>
          <w:sz w:val="24"/>
          <w:highlight w:val="none"/>
          <w:vertAlign w:val="superscript"/>
        </w:rPr>
        <w:t>3</w:t>
      </w:r>
      <w:r>
        <w:rPr>
          <w:rFonts w:hint="default" w:ascii="Times New Roman" w:hAnsi="Times New Roman" w:cs="Times New Roman"/>
          <w:kern w:val="0"/>
          <w:sz w:val="24"/>
          <w:highlight w:val="none"/>
        </w:rPr>
        <w:t>污水调节罐和2座10000m</w:t>
      </w:r>
      <w:r>
        <w:rPr>
          <w:rFonts w:hint="default" w:ascii="Times New Roman" w:hAnsi="Times New Roman" w:cs="Times New Roman"/>
          <w:kern w:val="0"/>
          <w:sz w:val="24"/>
          <w:highlight w:val="none"/>
          <w:vertAlign w:val="superscript"/>
        </w:rPr>
        <w:t>3</w:t>
      </w:r>
      <w:r>
        <w:rPr>
          <w:rFonts w:hint="default" w:ascii="Times New Roman" w:hAnsi="Times New Roman" w:cs="Times New Roman"/>
          <w:kern w:val="0"/>
          <w:sz w:val="24"/>
          <w:highlight w:val="none"/>
        </w:rPr>
        <w:t>污水事故水罐，总容积为35000m</w:t>
      </w:r>
      <w:r>
        <w:rPr>
          <w:rFonts w:hint="default" w:ascii="Times New Roman" w:hAnsi="Times New Roman" w:cs="Times New Roman"/>
          <w:kern w:val="0"/>
          <w:sz w:val="24"/>
          <w:highlight w:val="none"/>
          <w:vertAlign w:val="superscript"/>
        </w:rPr>
        <w:t>3</w:t>
      </w:r>
      <w:r>
        <w:rPr>
          <w:rFonts w:hint="default" w:ascii="Times New Roman" w:hAnsi="Times New Roman" w:cs="Times New Roman"/>
          <w:kern w:val="0"/>
          <w:sz w:val="24"/>
          <w:highlight w:val="none"/>
        </w:rPr>
        <w:t>。1座容积为15000m</w:t>
      </w:r>
      <w:r>
        <w:rPr>
          <w:rFonts w:hint="default" w:ascii="Times New Roman" w:hAnsi="Times New Roman" w:cs="Times New Roman"/>
          <w:kern w:val="0"/>
          <w:sz w:val="24"/>
          <w:highlight w:val="none"/>
          <w:vertAlign w:val="superscript"/>
        </w:rPr>
        <w:t>3</w:t>
      </w:r>
      <w:r>
        <w:rPr>
          <w:rFonts w:hint="default" w:ascii="Times New Roman" w:hAnsi="Times New Roman" w:cs="Times New Roman"/>
          <w:kern w:val="0"/>
          <w:sz w:val="24"/>
          <w:highlight w:val="none"/>
        </w:rPr>
        <w:t>的事故水收集池、利旧一座5000m</w:t>
      </w:r>
      <w:r>
        <w:rPr>
          <w:rFonts w:hint="default" w:ascii="Times New Roman" w:hAnsi="Times New Roman" w:cs="Times New Roman"/>
          <w:kern w:val="0"/>
          <w:sz w:val="24"/>
          <w:highlight w:val="none"/>
          <w:vertAlign w:val="superscript"/>
        </w:rPr>
        <w:t>3</w:t>
      </w:r>
      <w:r>
        <w:rPr>
          <w:rFonts w:hint="default" w:ascii="Times New Roman" w:hAnsi="Times New Roman" w:cs="Times New Roman"/>
          <w:kern w:val="0"/>
          <w:sz w:val="24"/>
          <w:highlight w:val="none"/>
        </w:rPr>
        <w:t>雨水池等三级防控系统，确保事故状态下的污水全部处于受控状态。</w:t>
      </w:r>
    </w:p>
    <w:p>
      <w:pPr>
        <w:jc w:val="center"/>
        <w:rPr>
          <w:rFonts w:hint="eastAsia" w:ascii="Times New Roman" w:hAnsi="黑体" w:eastAsia="黑体" w:cs="Times New Roman"/>
          <w:color w:val="auto"/>
          <w:sz w:val="24"/>
          <w:szCs w:val="24"/>
          <w:highlight w:val="none"/>
        </w:rPr>
      </w:pPr>
      <w:r>
        <w:rPr>
          <w:rFonts w:hint="eastAsia" w:ascii="Times New Roman" w:hAnsi="黑体" w:eastAsia="黑体" w:cs="Times New Roman"/>
          <w:color w:val="auto"/>
          <w:sz w:val="24"/>
          <w:szCs w:val="24"/>
          <w:highlight w:val="none"/>
        </w:rPr>
        <w:t>表6.</w:t>
      </w:r>
      <w:r>
        <w:rPr>
          <w:rFonts w:hint="eastAsia" w:ascii="Times New Roman" w:hAnsi="黑体" w:eastAsia="黑体" w:cs="Times New Roman"/>
          <w:color w:val="auto"/>
          <w:sz w:val="24"/>
          <w:szCs w:val="24"/>
          <w:highlight w:val="none"/>
          <w:lang w:val="en-US" w:eastAsia="zh-CN"/>
        </w:rPr>
        <w:t>2</w:t>
      </w:r>
      <w:r>
        <w:rPr>
          <w:rFonts w:hint="eastAsia" w:ascii="Times New Roman" w:hAnsi="黑体" w:eastAsia="黑体" w:cs="Times New Roman"/>
          <w:color w:val="auto"/>
          <w:sz w:val="24"/>
          <w:szCs w:val="24"/>
          <w:highlight w:val="none"/>
        </w:rPr>
        <w:t>-1  本企业环境应急资源落实情况一览表</w:t>
      </w:r>
    </w:p>
    <w:tbl>
      <w:tblPr>
        <w:tblStyle w:val="21"/>
        <w:tblW w:w="4998"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671"/>
        <w:gridCol w:w="3934"/>
        <w:gridCol w:w="1110"/>
        <w:gridCol w:w="2804"/>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394" w:type="pct"/>
            <w:tcBorders>
              <w:tl2br w:val="nil"/>
              <w:tr2bl w:val="nil"/>
            </w:tcBorders>
            <w:vAlign w:val="center"/>
          </w:tcPr>
          <w:p>
            <w:pPr>
              <w:spacing w:line="276" w:lineRule="auto"/>
              <w:jc w:val="center"/>
              <w:rPr>
                <w:rFonts w:cs="Times New Roman" w:asciiTheme="minorEastAsia" w:hAnsiTheme="minorEastAsia"/>
                <w:bCs/>
                <w:sz w:val="18"/>
              </w:rPr>
            </w:pPr>
            <w:r>
              <w:rPr>
                <w:rFonts w:cs="Times New Roman" w:asciiTheme="minorEastAsia" w:hAnsiTheme="minorEastAsia"/>
                <w:bCs/>
                <w:sz w:val="18"/>
              </w:rPr>
              <w:t>序号</w:t>
            </w:r>
          </w:p>
        </w:tc>
        <w:tc>
          <w:tcPr>
            <w:tcW w:w="2308" w:type="pct"/>
            <w:tcBorders>
              <w:tl2br w:val="nil"/>
              <w:tr2bl w:val="nil"/>
            </w:tcBorders>
            <w:vAlign w:val="center"/>
          </w:tcPr>
          <w:p>
            <w:pPr>
              <w:spacing w:line="276" w:lineRule="auto"/>
              <w:jc w:val="center"/>
              <w:rPr>
                <w:rFonts w:cs="Times New Roman" w:asciiTheme="minorEastAsia" w:hAnsiTheme="minorEastAsia"/>
                <w:bCs/>
                <w:sz w:val="18"/>
              </w:rPr>
            </w:pPr>
            <w:r>
              <w:rPr>
                <w:rFonts w:cs="Times New Roman" w:asciiTheme="minorEastAsia" w:hAnsiTheme="minorEastAsia"/>
                <w:bCs/>
                <w:sz w:val="18"/>
              </w:rPr>
              <w:t>环境风险防控与应急措施</w:t>
            </w:r>
          </w:p>
        </w:tc>
        <w:tc>
          <w:tcPr>
            <w:tcW w:w="651" w:type="pct"/>
            <w:tcBorders>
              <w:tl2br w:val="nil"/>
              <w:tr2bl w:val="nil"/>
            </w:tcBorders>
            <w:vAlign w:val="center"/>
          </w:tcPr>
          <w:p>
            <w:pPr>
              <w:spacing w:line="276" w:lineRule="auto"/>
              <w:jc w:val="center"/>
              <w:rPr>
                <w:rFonts w:cs="Times New Roman" w:asciiTheme="minorEastAsia" w:hAnsiTheme="minorEastAsia"/>
                <w:bCs/>
                <w:sz w:val="18"/>
              </w:rPr>
            </w:pPr>
            <w:r>
              <w:rPr>
                <w:rFonts w:cs="Times New Roman" w:asciiTheme="minorEastAsia" w:hAnsiTheme="minorEastAsia"/>
                <w:bCs/>
                <w:sz w:val="18"/>
              </w:rPr>
              <w:t>是否建立</w:t>
            </w:r>
          </w:p>
        </w:tc>
        <w:tc>
          <w:tcPr>
            <w:tcW w:w="1645" w:type="pct"/>
            <w:tcBorders>
              <w:tl2br w:val="nil"/>
              <w:tr2bl w:val="nil"/>
            </w:tcBorders>
            <w:vAlign w:val="center"/>
          </w:tcPr>
          <w:p>
            <w:pPr>
              <w:spacing w:line="276" w:lineRule="auto"/>
              <w:jc w:val="center"/>
              <w:rPr>
                <w:rFonts w:cs="Times New Roman" w:asciiTheme="minorEastAsia" w:hAnsiTheme="minorEastAsia"/>
                <w:bCs/>
                <w:sz w:val="18"/>
              </w:rPr>
            </w:pPr>
            <w:r>
              <w:rPr>
                <w:rFonts w:cs="Times New Roman" w:asciiTheme="minorEastAsia" w:hAnsiTheme="minorEastAsia"/>
                <w:bCs/>
                <w:sz w:val="18"/>
              </w:rPr>
              <w:t>备注</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394" w:type="pct"/>
            <w:tcBorders>
              <w:tl2br w:val="nil"/>
              <w:tr2bl w:val="nil"/>
            </w:tcBorders>
            <w:vAlign w:val="center"/>
          </w:tcPr>
          <w:p>
            <w:pPr>
              <w:spacing w:line="276" w:lineRule="auto"/>
              <w:jc w:val="center"/>
              <w:rPr>
                <w:rFonts w:cs="Times New Roman" w:asciiTheme="minorEastAsia" w:hAnsiTheme="minorEastAsia"/>
                <w:sz w:val="18"/>
              </w:rPr>
            </w:pPr>
            <w:r>
              <w:rPr>
                <w:rFonts w:cs="Times New Roman" w:asciiTheme="minorEastAsia" w:hAnsiTheme="minorEastAsia"/>
                <w:sz w:val="18"/>
              </w:rPr>
              <w:t>1</w:t>
            </w:r>
          </w:p>
        </w:tc>
        <w:tc>
          <w:tcPr>
            <w:tcW w:w="2308" w:type="pct"/>
            <w:tcBorders>
              <w:tl2br w:val="nil"/>
              <w:tr2bl w:val="nil"/>
            </w:tcBorders>
            <w:vAlign w:val="center"/>
          </w:tcPr>
          <w:p>
            <w:pPr>
              <w:spacing w:line="276" w:lineRule="auto"/>
              <w:jc w:val="center"/>
              <w:rPr>
                <w:rFonts w:hint="eastAsia" w:cs="Times New Roman" w:asciiTheme="minorEastAsia" w:hAnsiTheme="minorEastAsia" w:eastAsiaTheme="minorEastAsia"/>
                <w:sz w:val="18"/>
                <w:lang w:eastAsia="zh-CN"/>
              </w:rPr>
            </w:pPr>
            <w:r>
              <w:rPr>
                <w:rFonts w:cs="Times New Roman" w:asciiTheme="minorEastAsia" w:hAnsiTheme="minorEastAsia"/>
                <w:sz w:val="18"/>
              </w:rPr>
              <w:t>废气排放口、废水、雨水和清洁下水排放口对可能排出的环境风险物质，设置监视、控制措施</w:t>
            </w:r>
            <w:r>
              <w:rPr>
                <w:rFonts w:hint="eastAsia" w:cs="Times New Roman" w:asciiTheme="minorEastAsia" w:hAnsiTheme="minorEastAsia"/>
                <w:sz w:val="18"/>
                <w:lang w:eastAsia="zh-CN"/>
              </w:rPr>
              <w:t>。</w:t>
            </w:r>
          </w:p>
        </w:tc>
        <w:tc>
          <w:tcPr>
            <w:tcW w:w="651" w:type="pct"/>
            <w:tcBorders>
              <w:tl2br w:val="nil"/>
              <w:tr2bl w:val="nil"/>
            </w:tcBorders>
            <w:vAlign w:val="center"/>
          </w:tcPr>
          <w:p>
            <w:pPr>
              <w:spacing w:line="276" w:lineRule="auto"/>
              <w:jc w:val="center"/>
              <w:rPr>
                <w:rFonts w:cs="Times New Roman" w:asciiTheme="minorEastAsia" w:hAnsiTheme="minorEastAsia"/>
                <w:sz w:val="18"/>
              </w:rPr>
            </w:pPr>
            <w:r>
              <w:rPr>
                <w:rFonts w:cs="Times New Roman" w:asciiTheme="minorEastAsia" w:hAnsiTheme="minorEastAsia"/>
                <w:sz w:val="18"/>
              </w:rPr>
              <w:t>是</w:t>
            </w:r>
          </w:p>
        </w:tc>
        <w:tc>
          <w:tcPr>
            <w:tcW w:w="1645" w:type="pct"/>
            <w:tcBorders>
              <w:tl2br w:val="nil"/>
              <w:tr2bl w:val="nil"/>
            </w:tcBorders>
            <w:vAlign w:val="center"/>
          </w:tcPr>
          <w:p>
            <w:pPr>
              <w:spacing w:line="276" w:lineRule="auto"/>
              <w:jc w:val="center"/>
              <w:rPr>
                <w:rFonts w:hint="default" w:cs="Times New Roman" w:asciiTheme="minorEastAsia" w:hAnsiTheme="minorEastAsia" w:eastAsiaTheme="minorEastAsia"/>
                <w:sz w:val="18"/>
                <w:lang w:val="en-US" w:eastAsia="zh-CN"/>
              </w:rPr>
            </w:pPr>
            <w:r>
              <w:rPr>
                <w:rFonts w:hint="eastAsia" w:cs="Times New Roman" w:asciiTheme="minorEastAsia" w:hAnsiTheme="minorEastAsia"/>
                <w:sz w:val="18"/>
                <w:lang w:val="en-US" w:eastAsia="zh-CN"/>
              </w:rPr>
              <w:t>废水开口设置在线监测系统，设置污水紧急切断措施。</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394" w:type="pct"/>
            <w:tcBorders>
              <w:tl2br w:val="nil"/>
              <w:tr2bl w:val="nil"/>
            </w:tcBorders>
            <w:vAlign w:val="center"/>
          </w:tcPr>
          <w:p>
            <w:pPr>
              <w:spacing w:line="276" w:lineRule="auto"/>
              <w:jc w:val="center"/>
              <w:rPr>
                <w:rFonts w:cs="Times New Roman" w:asciiTheme="minorEastAsia" w:hAnsiTheme="minorEastAsia"/>
                <w:sz w:val="18"/>
              </w:rPr>
            </w:pPr>
            <w:r>
              <w:rPr>
                <w:rFonts w:cs="Times New Roman" w:asciiTheme="minorEastAsia" w:hAnsiTheme="minorEastAsia"/>
                <w:sz w:val="18"/>
              </w:rPr>
              <w:t>2</w:t>
            </w:r>
          </w:p>
        </w:tc>
        <w:tc>
          <w:tcPr>
            <w:tcW w:w="2308" w:type="pct"/>
            <w:tcBorders>
              <w:tl2br w:val="nil"/>
              <w:tr2bl w:val="nil"/>
            </w:tcBorders>
            <w:vAlign w:val="center"/>
          </w:tcPr>
          <w:p>
            <w:pPr>
              <w:spacing w:line="276" w:lineRule="auto"/>
              <w:jc w:val="center"/>
              <w:rPr>
                <w:rFonts w:cs="Times New Roman" w:asciiTheme="minorEastAsia" w:hAnsiTheme="minorEastAsia"/>
                <w:sz w:val="18"/>
              </w:rPr>
            </w:pPr>
            <w:r>
              <w:rPr>
                <w:rFonts w:cs="Times New Roman" w:asciiTheme="minorEastAsia" w:hAnsiTheme="minorEastAsia"/>
                <w:sz w:val="18"/>
              </w:rPr>
              <w:t>是否采取防止事故排水、污染物等扩散、排出厂界的措施，包括截流措施、事故排水收集措施、清净下水系统防控措施、雨水系统防控措施、生产废水处理系统防控措施等</w:t>
            </w:r>
          </w:p>
        </w:tc>
        <w:tc>
          <w:tcPr>
            <w:tcW w:w="651" w:type="pct"/>
            <w:tcBorders>
              <w:tl2br w:val="nil"/>
              <w:tr2bl w:val="nil"/>
            </w:tcBorders>
            <w:vAlign w:val="center"/>
          </w:tcPr>
          <w:p>
            <w:pPr>
              <w:autoSpaceDE w:val="0"/>
              <w:autoSpaceDN w:val="0"/>
              <w:adjustRightInd w:val="0"/>
              <w:snapToGrid w:val="0"/>
              <w:spacing w:line="276" w:lineRule="auto"/>
              <w:jc w:val="center"/>
              <w:rPr>
                <w:rFonts w:cs="Times New Roman" w:asciiTheme="minorEastAsia" w:hAnsiTheme="minorEastAsia"/>
                <w:sz w:val="18"/>
              </w:rPr>
            </w:pPr>
            <w:r>
              <w:rPr>
                <w:rFonts w:cs="Times New Roman" w:asciiTheme="minorEastAsia" w:hAnsiTheme="minorEastAsia"/>
                <w:sz w:val="18"/>
              </w:rPr>
              <w:t>是</w:t>
            </w:r>
          </w:p>
        </w:tc>
        <w:tc>
          <w:tcPr>
            <w:tcW w:w="1645" w:type="pct"/>
            <w:tcBorders>
              <w:tl2br w:val="nil"/>
              <w:tr2bl w:val="nil"/>
            </w:tcBorders>
            <w:vAlign w:val="center"/>
          </w:tcPr>
          <w:p>
            <w:pPr>
              <w:spacing w:line="276" w:lineRule="auto"/>
              <w:jc w:val="center"/>
              <w:rPr>
                <w:rFonts w:cs="Times New Roman" w:asciiTheme="minorEastAsia" w:hAnsiTheme="minorEastAsia"/>
                <w:sz w:val="18"/>
              </w:rPr>
            </w:pPr>
            <w:r>
              <w:rPr>
                <w:rFonts w:hint="eastAsia" w:cs="Times New Roman" w:asciiTheme="minorEastAsia" w:hAnsiTheme="minorEastAsia"/>
                <w:sz w:val="18"/>
                <w:lang w:val="en-US" w:eastAsia="zh-CN"/>
              </w:rPr>
              <w:t>设置三级防空系统，</w:t>
            </w:r>
            <w:r>
              <w:rPr>
                <w:rFonts w:cs="Times New Roman" w:asciiTheme="minorEastAsia" w:hAnsiTheme="minorEastAsia"/>
                <w:sz w:val="18"/>
              </w:rPr>
              <w:t>各项设施均能有效使用</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394" w:type="pct"/>
            <w:tcBorders>
              <w:tl2br w:val="nil"/>
              <w:tr2bl w:val="nil"/>
            </w:tcBorders>
            <w:vAlign w:val="center"/>
          </w:tcPr>
          <w:p>
            <w:pPr>
              <w:spacing w:line="276" w:lineRule="auto"/>
              <w:jc w:val="center"/>
              <w:rPr>
                <w:rFonts w:cs="Times New Roman" w:asciiTheme="minorEastAsia" w:hAnsiTheme="minorEastAsia"/>
                <w:sz w:val="18"/>
              </w:rPr>
            </w:pPr>
            <w:r>
              <w:rPr>
                <w:rFonts w:cs="Times New Roman" w:asciiTheme="minorEastAsia" w:hAnsiTheme="minorEastAsia"/>
                <w:sz w:val="18"/>
              </w:rPr>
              <w:t>3</w:t>
            </w:r>
          </w:p>
        </w:tc>
        <w:tc>
          <w:tcPr>
            <w:tcW w:w="2308" w:type="pct"/>
            <w:tcBorders>
              <w:tl2br w:val="nil"/>
              <w:tr2bl w:val="nil"/>
            </w:tcBorders>
            <w:vAlign w:val="center"/>
          </w:tcPr>
          <w:p>
            <w:pPr>
              <w:spacing w:line="276" w:lineRule="auto"/>
              <w:jc w:val="center"/>
              <w:rPr>
                <w:rFonts w:hint="eastAsia" w:cs="Times New Roman" w:asciiTheme="minorEastAsia" w:hAnsiTheme="minorEastAsia" w:eastAsiaTheme="minorEastAsia"/>
                <w:sz w:val="18"/>
                <w:lang w:eastAsia="zh-CN"/>
              </w:rPr>
            </w:pPr>
            <w:r>
              <w:rPr>
                <w:rFonts w:cs="Times New Roman" w:asciiTheme="minorEastAsia" w:hAnsiTheme="minorEastAsia"/>
                <w:sz w:val="18"/>
              </w:rPr>
              <w:t>涉及毒性气体的，是否设置毒性气体泄漏紧急处置装置，是否已布置生产区域或厂界毒性气体泄漏监控预警系统，是否有提醒周边公众紧急疏散的措施和手段等</w:t>
            </w:r>
            <w:r>
              <w:rPr>
                <w:rFonts w:hint="eastAsia" w:cs="Times New Roman" w:asciiTheme="minorEastAsia" w:hAnsiTheme="minorEastAsia"/>
                <w:sz w:val="18"/>
                <w:lang w:eastAsia="zh-CN"/>
              </w:rPr>
              <w:t>。</w:t>
            </w:r>
          </w:p>
        </w:tc>
        <w:tc>
          <w:tcPr>
            <w:tcW w:w="651" w:type="pct"/>
            <w:tcBorders>
              <w:tl2br w:val="nil"/>
              <w:tr2bl w:val="nil"/>
            </w:tcBorders>
            <w:vAlign w:val="center"/>
          </w:tcPr>
          <w:p>
            <w:pPr>
              <w:spacing w:line="276" w:lineRule="auto"/>
              <w:jc w:val="center"/>
              <w:rPr>
                <w:rFonts w:cs="Times New Roman" w:asciiTheme="minorEastAsia" w:hAnsiTheme="minorEastAsia"/>
                <w:sz w:val="18"/>
              </w:rPr>
            </w:pPr>
            <w:r>
              <w:rPr>
                <w:rFonts w:hint="eastAsia" w:cs="Times New Roman" w:asciiTheme="minorEastAsia" w:hAnsiTheme="minorEastAsia"/>
                <w:sz w:val="18"/>
              </w:rPr>
              <w:t>是</w:t>
            </w:r>
          </w:p>
        </w:tc>
        <w:tc>
          <w:tcPr>
            <w:tcW w:w="1645" w:type="pct"/>
            <w:tcBorders>
              <w:tl2br w:val="nil"/>
              <w:tr2bl w:val="nil"/>
            </w:tcBorders>
            <w:vAlign w:val="center"/>
          </w:tcPr>
          <w:p>
            <w:pPr>
              <w:spacing w:line="276" w:lineRule="auto"/>
              <w:jc w:val="center"/>
              <w:rPr>
                <w:rFonts w:hint="eastAsia" w:cs="Times New Roman" w:asciiTheme="minorEastAsia" w:hAnsiTheme="minorEastAsia" w:eastAsiaTheme="minorEastAsia"/>
                <w:sz w:val="18"/>
                <w:lang w:val="en-US" w:eastAsia="zh-CN"/>
              </w:rPr>
            </w:pPr>
            <w:r>
              <w:rPr>
                <w:rFonts w:hint="eastAsia" w:cs="Times New Roman" w:asciiTheme="minorEastAsia" w:hAnsiTheme="minorEastAsia"/>
                <w:sz w:val="18"/>
                <w:lang w:val="en-US" w:eastAsia="zh-CN"/>
              </w:rPr>
              <w:t>设置了</w:t>
            </w:r>
            <w:r>
              <w:rPr>
                <w:rFonts w:hint="eastAsia" w:cs="Times New Roman" w:asciiTheme="minorEastAsia" w:hAnsiTheme="minorEastAsia"/>
                <w:sz w:val="18"/>
              </w:rPr>
              <w:t>泄漏检测系统</w:t>
            </w:r>
            <w:r>
              <w:rPr>
                <w:rFonts w:hint="eastAsia" w:cs="Times New Roman" w:asciiTheme="minorEastAsia" w:hAnsiTheme="minorEastAsia"/>
                <w:sz w:val="18"/>
                <w:lang w:eastAsia="zh-CN"/>
              </w:rPr>
              <w:t>。</w:t>
            </w:r>
          </w:p>
        </w:tc>
      </w:tr>
    </w:tbl>
    <w:p>
      <w:pPr>
        <w:jc w:val="center"/>
        <w:rPr>
          <w:rFonts w:hint="eastAsia" w:ascii="Times New Roman" w:hAnsi="黑体" w:eastAsia="黑体" w:cs="Times New Roman"/>
          <w:color w:val="auto"/>
          <w:sz w:val="24"/>
          <w:szCs w:val="24"/>
          <w:highlight w:val="none"/>
        </w:rPr>
      </w:pPr>
    </w:p>
    <w:bookmarkEnd w:id="422"/>
    <w:p>
      <w:pPr>
        <w:pStyle w:val="4"/>
        <w:bidi w:val="0"/>
        <w:rPr>
          <w:rFonts w:hint="eastAsia"/>
        </w:rPr>
      </w:pPr>
      <w:bookmarkStart w:id="423" w:name="_Toc3681"/>
      <w:bookmarkStart w:id="424" w:name="_Toc16101"/>
      <w:bookmarkStart w:id="425" w:name="_Toc26735"/>
      <w:bookmarkStart w:id="426" w:name="_Toc10705"/>
      <w:r>
        <w:rPr>
          <w:rFonts w:hint="eastAsia"/>
          <w:lang w:val="en-US" w:eastAsia="zh-CN"/>
        </w:rPr>
        <w:t>6</w:t>
      </w:r>
      <w:r>
        <w:rPr>
          <w:rFonts w:hint="eastAsia"/>
        </w:rPr>
        <w:t>.</w:t>
      </w:r>
      <w:r>
        <w:rPr>
          <w:rFonts w:hint="eastAsia"/>
          <w:lang w:val="en-US" w:eastAsia="zh-CN"/>
        </w:rPr>
        <w:t>3</w:t>
      </w:r>
      <w:r>
        <w:rPr>
          <w:rFonts w:hint="eastAsia"/>
        </w:rPr>
        <w:t>环境应急资源</w:t>
      </w:r>
      <w:bookmarkEnd w:id="423"/>
      <w:bookmarkEnd w:id="424"/>
      <w:bookmarkEnd w:id="425"/>
    </w:p>
    <w:p>
      <w:pPr>
        <w:pStyle w:val="18"/>
        <w:spacing w:beforeAutospacing="0" w:afterAutospacing="0" w:line="360" w:lineRule="auto"/>
        <w:ind w:firstLine="480" w:firstLineChars="200"/>
        <w:jc w:val="both"/>
        <w:rPr>
          <w:rFonts w:cs="Times New Roman" w:asciiTheme="minorEastAsia" w:hAnsiTheme="minorEastAsia"/>
          <w:bCs/>
          <w:color w:val="auto"/>
        </w:rPr>
      </w:pPr>
      <w:r>
        <w:rPr>
          <w:rFonts w:cs="Times New Roman" w:asciiTheme="minorEastAsia" w:hAnsiTheme="minorEastAsia"/>
          <w:bCs/>
          <w:color w:val="auto"/>
        </w:rPr>
        <w:t>本项目</w:t>
      </w:r>
      <w:r>
        <w:rPr>
          <w:rFonts w:hint="eastAsia" w:cs="Times New Roman" w:asciiTheme="minorEastAsia" w:hAnsiTheme="minorEastAsia"/>
          <w:bCs/>
          <w:color w:val="auto"/>
        </w:rPr>
        <w:t>环境应急资源落实情况</w:t>
      </w:r>
      <w:r>
        <w:rPr>
          <w:rFonts w:cs="Times New Roman" w:asciiTheme="minorEastAsia" w:hAnsiTheme="minorEastAsia"/>
          <w:bCs/>
          <w:color w:val="auto"/>
        </w:rPr>
        <w:t>见下表</w:t>
      </w:r>
      <w:r>
        <w:rPr>
          <w:rFonts w:hint="eastAsia" w:cs="Times New Roman" w:asciiTheme="minorEastAsia" w:hAnsiTheme="minorEastAsia"/>
          <w:bCs/>
          <w:color w:val="auto"/>
          <w:lang w:val="en-US" w:eastAsia="zh-CN"/>
        </w:rPr>
        <w:t>6.3</w:t>
      </w:r>
      <w:r>
        <w:rPr>
          <w:rFonts w:cs="Times New Roman" w:asciiTheme="minorEastAsia" w:hAnsiTheme="minorEastAsia"/>
          <w:bCs/>
          <w:color w:val="auto"/>
        </w:rPr>
        <w:t>-</w:t>
      </w:r>
      <w:r>
        <w:rPr>
          <w:rFonts w:hint="eastAsia" w:cs="Times New Roman" w:asciiTheme="minorEastAsia" w:hAnsiTheme="minorEastAsia"/>
          <w:bCs/>
          <w:color w:val="auto"/>
        </w:rPr>
        <w:t>1。</w:t>
      </w:r>
    </w:p>
    <w:p>
      <w:pPr>
        <w:spacing w:line="360" w:lineRule="auto"/>
        <w:ind w:firstLine="442" w:firstLineChars="200"/>
        <w:jc w:val="center"/>
        <w:rPr>
          <w:rFonts w:cs="Times New Roman" w:asciiTheme="minorEastAsia" w:hAnsiTheme="minorEastAsia"/>
          <w:b/>
          <w:bCs/>
          <w:sz w:val="22"/>
        </w:rPr>
      </w:pPr>
    </w:p>
    <w:p>
      <w:pPr>
        <w:spacing w:line="360" w:lineRule="auto"/>
        <w:ind w:firstLine="442" w:firstLineChars="200"/>
        <w:jc w:val="center"/>
        <w:rPr>
          <w:rFonts w:cs="Times New Roman" w:asciiTheme="minorEastAsia" w:hAnsiTheme="minorEastAsia"/>
          <w:b/>
          <w:bCs/>
          <w:sz w:val="22"/>
        </w:rPr>
      </w:pPr>
    </w:p>
    <w:p>
      <w:pPr>
        <w:spacing w:line="360" w:lineRule="auto"/>
        <w:ind w:firstLine="442" w:firstLineChars="200"/>
        <w:jc w:val="center"/>
        <w:rPr>
          <w:rFonts w:cs="Times New Roman" w:asciiTheme="minorEastAsia" w:hAnsiTheme="minorEastAsia"/>
          <w:b/>
          <w:bCs/>
          <w:sz w:val="22"/>
        </w:rPr>
      </w:pPr>
    </w:p>
    <w:p>
      <w:pPr>
        <w:spacing w:line="360" w:lineRule="auto"/>
        <w:ind w:firstLine="442" w:firstLineChars="200"/>
        <w:jc w:val="center"/>
        <w:rPr>
          <w:rFonts w:cs="Times New Roman" w:asciiTheme="minorEastAsia" w:hAnsiTheme="minorEastAsia"/>
          <w:b/>
          <w:bCs/>
          <w:sz w:val="28"/>
        </w:rPr>
      </w:pPr>
      <w:r>
        <w:rPr>
          <w:rFonts w:cs="Times New Roman" w:asciiTheme="minorEastAsia" w:hAnsiTheme="minorEastAsia"/>
          <w:b/>
          <w:bCs/>
          <w:sz w:val="22"/>
        </w:rPr>
        <w:t>表</w:t>
      </w:r>
      <w:r>
        <w:rPr>
          <w:rFonts w:hint="eastAsia" w:cs="Times New Roman" w:asciiTheme="minorEastAsia" w:hAnsiTheme="minorEastAsia"/>
          <w:b/>
          <w:bCs/>
          <w:sz w:val="22"/>
          <w:lang w:val="en-US" w:eastAsia="zh-CN"/>
        </w:rPr>
        <w:t>6.3-1</w:t>
      </w:r>
      <w:r>
        <w:rPr>
          <w:rFonts w:cs="Times New Roman" w:asciiTheme="minorEastAsia" w:hAnsiTheme="minorEastAsia"/>
          <w:b/>
          <w:bCs/>
          <w:sz w:val="22"/>
        </w:rPr>
        <w:t>本企业环境应急资源落实情况一览表</w:t>
      </w:r>
    </w:p>
    <w:tbl>
      <w:tblPr>
        <w:tblStyle w:val="21"/>
        <w:tblW w:w="4998"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675"/>
        <w:gridCol w:w="2546"/>
        <w:gridCol w:w="3117"/>
        <w:gridCol w:w="2181"/>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96" w:type="pct"/>
            <w:tcBorders>
              <w:tl2br w:val="nil"/>
              <w:tr2bl w:val="nil"/>
            </w:tcBorders>
            <w:vAlign w:val="center"/>
          </w:tcPr>
          <w:p>
            <w:pPr>
              <w:spacing w:line="276" w:lineRule="auto"/>
              <w:jc w:val="center"/>
              <w:rPr>
                <w:rFonts w:cs="Times New Roman" w:asciiTheme="minorEastAsia" w:hAnsiTheme="minorEastAsia"/>
                <w:bCs/>
                <w:sz w:val="18"/>
              </w:rPr>
            </w:pPr>
            <w:r>
              <w:rPr>
                <w:rFonts w:cs="Times New Roman" w:asciiTheme="minorEastAsia" w:hAnsiTheme="minorEastAsia"/>
                <w:bCs/>
                <w:sz w:val="18"/>
              </w:rPr>
              <w:t>序号</w:t>
            </w:r>
          </w:p>
        </w:tc>
        <w:tc>
          <w:tcPr>
            <w:tcW w:w="1494" w:type="pct"/>
            <w:tcBorders>
              <w:tl2br w:val="nil"/>
              <w:tr2bl w:val="nil"/>
            </w:tcBorders>
            <w:vAlign w:val="center"/>
          </w:tcPr>
          <w:p>
            <w:pPr>
              <w:spacing w:line="276" w:lineRule="auto"/>
              <w:jc w:val="center"/>
              <w:rPr>
                <w:rFonts w:cs="Times New Roman" w:asciiTheme="minorEastAsia" w:hAnsiTheme="minorEastAsia"/>
                <w:bCs/>
                <w:sz w:val="18"/>
              </w:rPr>
            </w:pPr>
            <w:r>
              <w:rPr>
                <w:rFonts w:cs="Times New Roman" w:asciiTheme="minorEastAsia" w:hAnsiTheme="minorEastAsia"/>
                <w:bCs/>
                <w:sz w:val="18"/>
              </w:rPr>
              <w:t>环境应急资源</w:t>
            </w:r>
          </w:p>
        </w:tc>
        <w:tc>
          <w:tcPr>
            <w:tcW w:w="1829" w:type="pct"/>
            <w:tcBorders>
              <w:tl2br w:val="nil"/>
              <w:tr2bl w:val="nil"/>
            </w:tcBorders>
            <w:vAlign w:val="center"/>
          </w:tcPr>
          <w:p>
            <w:pPr>
              <w:spacing w:line="276" w:lineRule="auto"/>
              <w:jc w:val="center"/>
              <w:rPr>
                <w:rFonts w:cs="Times New Roman" w:asciiTheme="minorEastAsia" w:hAnsiTheme="minorEastAsia"/>
                <w:bCs/>
                <w:sz w:val="18"/>
              </w:rPr>
            </w:pPr>
            <w:r>
              <w:rPr>
                <w:rFonts w:cs="Times New Roman" w:asciiTheme="minorEastAsia" w:hAnsiTheme="minorEastAsia"/>
                <w:bCs/>
                <w:sz w:val="18"/>
              </w:rPr>
              <w:t>本企业是否建立</w:t>
            </w:r>
          </w:p>
        </w:tc>
        <w:tc>
          <w:tcPr>
            <w:tcW w:w="1279" w:type="pct"/>
            <w:tcBorders>
              <w:tl2br w:val="nil"/>
              <w:tr2bl w:val="nil"/>
            </w:tcBorders>
            <w:vAlign w:val="center"/>
          </w:tcPr>
          <w:p>
            <w:pPr>
              <w:spacing w:line="276" w:lineRule="auto"/>
              <w:jc w:val="center"/>
              <w:rPr>
                <w:rFonts w:cs="Times New Roman" w:asciiTheme="minorEastAsia" w:hAnsiTheme="minorEastAsia"/>
                <w:bCs/>
                <w:sz w:val="18"/>
              </w:rPr>
            </w:pPr>
            <w:r>
              <w:rPr>
                <w:rFonts w:cs="Times New Roman" w:asciiTheme="minorEastAsia" w:hAnsiTheme="minorEastAsia"/>
                <w:bCs/>
                <w:sz w:val="18"/>
              </w:rPr>
              <w:t>备注</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96"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1</w:t>
            </w:r>
          </w:p>
        </w:tc>
        <w:tc>
          <w:tcPr>
            <w:tcW w:w="1494"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是否配备必要的应急物资和应急装备（包括应急监测）</w:t>
            </w:r>
          </w:p>
        </w:tc>
        <w:tc>
          <w:tcPr>
            <w:tcW w:w="1829"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本企业配备有必要的应急物资、应急设备</w:t>
            </w:r>
          </w:p>
        </w:tc>
        <w:tc>
          <w:tcPr>
            <w:tcW w:w="1279"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96"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2</w:t>
            </w:r>
          </w:p>
        </w:tc>
        <w:tc>
          <w:tcPr>
            <w:tcW w:w="1494"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是否已设置专职或兼职人员组成的应急救援队伍</w:t>
            </w:r>
          </w:p>
        </w:tc>
        <w:tc>
          <w:tcPr>
            <w:tcW w:w="1829"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已设置</w:t>
            </w:r>
          </w:p>
        </w:tc>
        <w:tc>
          <w:tcPr>
            <w:tcW w:w="1279"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本企业设置有兼职人员（及各车间部门工作人员）组成的应急救援队伍</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27" w:hRule="atLeast"/>
          <w:jc w:val="center"/>
        </w:trPr>
        <w:tc>
          <w:tcPr>
            <w:tcW w:w="396"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3</w:t>
            </w:r>
          </w:p>
        </w:tc>
        <w:tc>
          <w:tcPr>
            <w:tcW w:w="1494"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是否与其他组织或单位签订应急救援协议或互救协议（包括应急物资、应急装备和救援队伍等情况）</w:t>
            </w:r>
          </w:p>
        </w:tc>
        <w:tc>
          <w:tcPr>
            <w:tcW w:w="1829"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r>
              <w:rPr>
                <w:rFonts w:cs="Times New Roman" w:asciiTheme="minorEastAsia" w:hAnsiTheme="minorEastAsia"/>
                <w:sz w:val="18"/>
              </w:rPr>
              <w:t>本企业厂内配备有必要的应急物资与设备，其中环保设备大部分已与设备生产厂家达成协议，在发生故障时能及时提供维修等服务。</w:t>
            </w:r>
          </w:p>
        </w:tc>
        <w:tc>
          <w:tcPr>
            <w:tcW w:w="1279" w:type="pct"/>
            <w:tcBorders>
              <w:tl2br w:val="nil"/>
              <w:tr2bl w:val="nil"/>
            </w:tcBorders>
            <w:vAlign w:val="center"/>
          </w:tcPr>
          <w:p>
            <w:pPr>
              <w:autoSpaceDE w:val="0"/>
              <w:autoSpaceDN w:val="0"/>
              <w:adjustRightInd w:val="0"/>
              <w:snapToGrid w:val="0"/>
              <w:spacing w:line="276" w:lineRule="auto"/>
              <w:ind w:right="34" w:rightChars="16"/>
              <w:jc w:val="center"/>
              <w:rPr>
                <w:rFonts w:cs="Times New Roman" w:asciiTheme="minorEastAsia" w:hAnsiTheme="minorEastAsia"/>
                <w:sz w:val="18"/>
              </w:rPr>
            </w:pPr>
          </w:p>
        </w:tc>
      </w:tr>
    </w:tbl>
    <w:p>
      <w:pPr>
        <w:bidi w:val="0"/>
        <w:rPr>
          <w:rFonts w:hint="eastAsia"/>
          <w:lang w:val="en-US" w:eastAsia="zh-CN"/>
        </w:rPr>
      </w:pPr>
    </w:p>
    <w:p>
      <w:pPr>
        <w:pStyle w:val="4"/>
        <w:keepNext/>
        <w:keepLines/>
        <w:pageBreakBefore w:val="0"/>
        <w:widowControl w:val="0"/>
        <w:numPr>
          <w:ilvl w:val="0"/>
          <w:numId w:val="0"/>
        </w:numPr>
        <w:kinsoku/>
        <w:wordWrap/>
        <w:overflowPunct/>
        <w:topLinePunct w:val="0"/>
        <w:autoSpaceDE/>
        <w:autoSpaceDN/>
        <w:bidi w:val="0"/>
        <w:adjustRightInd/>
        <w:snapToGrid/>
        <w:spacing w:before="0" w:after="0" w:line="360" w:lineRule="auto"/>
        <w:ind w:leftChars="0" w:right="0" w:rightChars="0"/>
        <w:textAlignment w:val="auto"/>
        <w:rPr>
          <w:rFonts w:hint="eastAsia" w:ascii="Times New Roman" w:hAnsi="Times New Roman" w:cs="Times New Roman"/>
          <w:color w:val="auto"/>
          <w:highlight w:val="none"/>
          <w:lang w:val="zh-CN" w:eastAsia="zh-CN"/>
        </w:rPr>
      </w:pPr>
      <w:bookmarkStart w:id="427" w:name="_Toc28835"/>
      <w:bookmarkStart w:id="428" w:name="_Toc28391"/>
      <w:r>
        <w:rPr>
          <w:rFonts w:hint="eastAsia" w:ascii="Times New Roman" w:hAnsi="Times New Roman" w:cs="Times New Roman"/>
          <w:color w:val="auto"/>
          <w:highlight w:val="none"/>
          <w:lang w:val="en-US" w:eastAsia="zh-CN"/>
        </w:rPr>
        <w:t>6.4</w:t>
      </w:r>
      <w:r>
        <w:rPr>
          <w:rFonts w:hint="eastAsia" w:ascii="Times New Roman" w:hAnsi="Times New Roman" w:cs="Times New Roman"/>
          <w:color w:val="auto"/>
          <w:highlight w:val="none"/>
          <w:lang w:val="zh-CN" w:eastAsia="zh-CN"/>
        </w:rPr>
        <w:t>差距性分析</w:t>
      </w:r>
      <w:bookmarkEnd w:id="426"/>
      <w:bookmarkEnd w:id="427"/>
      <w:bookmarkEnd w:id="428"/>
    </w:p>
    <w:p>
      <w:pPr>
        <w:pageBreakBefore w:val="0"/>
        <w:wordWrap/>
        <w:topLinePunct w:val="0"/>
        <w:bidi w:val="0"/>
        <w:adjustRightInd w:val="0"/>
        <w:spacing w:line="360" w:lineRule="auto"/>
        <w:ind w:left="0" w:leftChars="0" w:right="0" w:rightChars="0" w:firstLine="422" w:firstLineChars="200"/>
        <w:rPr>
          <w:rFonts w:hint="eastAsia" w:ascii="Times New Roman" w:hAnsi="Times New Roman" w:eastAsia="宋体" w:cs="Times New Roman"/>
          <w:b/>
          <w:bCs/>
          <w:color w:val="auto"/>
          <w:highlight w:val="none"/>
          <w:lang w:val="zh-CN" w:eastAsia="zh-CN"/>
        </w:rPr>
      </w:pPr>
      <w:r>
        <w:rPr>
          <w:rFonts w:hint="eastAsia" w:ascii="Times New Roman" w:hAnsi="Times New Roman" w:eastAsia="宋体" w:cs="Times New Roman"/>
          <w:b/>
          <w:bCs/>
          <w:color w:val="auto"/>
          <w:highlight w:val="none"/>
          <w:lang w:val="zh-CN" w:eastAsia="zh-CN"/>
        </w:rPr>
        <w:t>差距分析：</w:t>
      </w:r>
    </w:p>
    <w:p>
      <w:pPr>
        <w:pageBreakBefore w:val="0"/>
        <w:wordWrap/>
        <w:topLinePunct w:val="0"/>
        <w:bidi w:val="0"/>
        <w:adjustRightInd w:val="0"/>
        <w:spacing w:line="360" w:lineRule="auto"/>
        <w:ind w:left="0" w:leftChars="0" w:right="0" w:rightChars="0" w:firstLine="420" w:firstLineChars="200"/>
        <w:rPr>
          <w:rFonts w:hint="eastAsia"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zh-CN" w:eastAsia="zh-CN"/>
        </w:rPr>
        <w:t>1、环境风险防控和应急措施已经基本建立，环境风险防控重点岗位的责任人明确，定期巡检和维护责任制度已基本落实。</w:t>
      </w:r>
    </w:p>
    <w:p>
      <w:pPr>
        <w:pageBreakBefore w:val="0"/>
        <w:wordWrap/>
        <w:topLinePunct w:val="0"/>
        <w:bidi w:val="0"/>
        <w:adjustRightInd w:val="0"/>
        <w:spacing w:line="360" w:lineRule="auto"/>
        <w:ind w:left="0" w:leftChars="0" w:right="0" w:rightChars="0" w:firstLine="420" w:firstLineChars="200"/>
        <w:rPr>
          <w:rFonts w:hint="eastAsia"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zh-CN" w:eastAsia="zh-CN"/>
        </w:rPr>
        <w:t>2、公司已基本落实环评及批复文件的各项环境风险防控和应急措施。</w:t>
      </w:r>
    </w:p>
    <w:p>
      <w:pPr>
        <w:pageBreakBefore w:val="0"/>
        <w:wordWrap/>
        <w:topLinePunct w:val="0"/>
        <w:bidi w:val="0"/>
        <w:adjustRightInd w:val="0"/>
        <w:spacing w:line="360" w:lineRule="auto"/>
        <w:ind w:left="0" w:leftChars="0" w:right="0" w:rightChars="0" w:firstLine="420" w:firstLineChars="200"/>
        <w:rPr>
          <w:rFonts w:hint="eastAsia"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zh-CN" w:eastAsia="zh-CN"/>
        </w:rPr>
        <w:t>3、公司定期对职工开展环境风险和环境应急管理的宣传和培训。</w:t>
      </w:r>
    </w:p>
    <w:p>
      <w:pPr>
        <w:pageBreakBefore w:val="0"/>
        <w:wordWrap/>
        <w:topLinePunct w:val="0"/>
        <w:bidi w:val="0"/>
        <w:adjustRightInd w:val="0"/>
        <w:spacing w:line="360" w:lineRule="auto"/>
        <w:ind w:left="0" w:leftChars="0" w:right="0" w:rightChars="0" w:firstLine="420" w:firstLineChars="200"/>
        <w:rPr>
          <w:rFonts w:hint="eastAsia"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zh-CN" w:eastAsia="zh-CN"/>
        </w:rPr>
        <w:t>4、公司已建立突发环境事件信息报告制度， 并有效执行。</w:t>
      </w:r>
    </w:p>
    <w:p>
      <w:pPr>
        <w:pageBreakBefore w:val="0"/>
        <w:wordWrap/>
        <w:topLinePunct w:val="0"/>
        <w:bidi w:val="0"/>
        <w:adjustRightInd w:val="0"/>
        <w:spacing w:line="360" w:lineRule="auto"/>
        <w:ind w:left="0" w:leftChars="0" w:right="0" w:rightChars="0" w:firstLine="422" w:firstLineChars="200"/>
        <w:rPr>
          <w:rFonts w:hint="eastAsia" w:ascii="Times New Roman" w:hAnsi="Times New Roman" w:eastAsia="宋体" w:cs="Times New Roman"/>
          <w:b/>
          <w:bCs/>
          <w:color w:val="auto"/>
          <w:highlight w:val="none"/>
          <w:lang w:val="zh-CN" w:eastAsia="zh-CN"/>
        </w:rPr>
      </w:pPr>
      <w:r>
        <w:rPr>
          <w:rFonts w:hint="eastAsia" w:ascii="Times New Roman" w:hAnsi="Times New Roman" w:eastAsia="宋体" w:cs="Times New Roman"/>
          <w:b/>
          <w:bCs/>
          <w:color w:val="auto"/>
          <w:highlight w:val="none"/>
          <w:lang w:val="zh-CN" w:eastAsia="zh-CN"/>
        </w:rPr>
        <w:t>需要改进的内容：</w:t>
      </w:r>
    </w:p>
    <w:p>
      <w:pPr>
        <w:pageBreakBefore w:val="0"/>
        <w:wordWrap/>
        <w:topLinePunct w:val="0"/>
        <w:bidi w:val="0"/>
        <w:adjustRightInd w:val="0"/>
        <w:spacing w:line="360" w:lineRule="auto"/>
        <w:ind w:left="0" w:leftChars="0" w:right="0" w:rightChars="0" w:firstLine="420" w:firstLineChars="200"/>
        <w:rPr>
          <w:rFonts w:hint="eastAsia"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zh-CN" w:eastAsia="zh-CN"/>
        </w:rPr>
        <w:t>1、公司在落实环评及批复文件的各项环境风险防控和应急措施时，需进一步规范各污染物的规范管理。</w:t>
      </w:r>
    </w:p>
    <w:p>
      <w:pPr>
        <w:pageBreakBefore w:val="0"/>
        <w:wordWrap/>
        <w:topLinePunct w:val="0"/>
        <w:bidi w:val="0"/>
        <w:adjustRightInd w:val="0"/>
        <w:spacing w:line="360" w:lineRule="auto"/>
        <w:ind w:left="0" w:leftChars="0" w:right="0" w:rightChars="0" w:firstLine="420" w:firstLineChars="200"/>
        <w:rPr>
          <w:rFonts w:hint="eastAsia" w:ascii="Times New Roman" w:hAnsi="Times New Roman" w:eastAsia="宋体" w:cs="Times New Roman"/>
          <w:color w:val="auto"/>
          <w:highlight w:val="none"/>
          <w:lang w:val="zh-CN" w:eastAsia="zh-CN"/>
        </w:rPr>
      </w:pPr>
      <w:r>
        <w:rPr>
          <w:rFonts w:hint="eastAsia" w:ascii="Times New Roman" w:hAnsi="Times New Roman" w:eastAsia="宋体" w:cs="Times New Roman"/>
          <w:color w:val="auto"/>
          <w:highlight w:val="none"/>
          <w:lang w:val="zh-CN" w:eastAsia="zh-CN"/>
        </w:rPr>
        <w:t>2、根据相关设计规范、下游环境风险受体敏感程度和易发生极端天气情况，完善事故</w:t>
      </w:r>
      <w:r>
        <w:rPr>
          <w:rFonts w:hint="eastAsia" w:ascii="Times New Roman" w:hAnsi="Times New Roman" w:cs="Times New Roman"/>
          <w:color w:val="auto"/>
          <w:highlight w:val="none"/>
          <w:lang w:val="zh-CN" w:eastAsia="zh-CN"/>
        </w:rPr>
        <w:t>应急响应措施</w:t>
      </w:r>
      <w:r>
        <w:rPr>
          <w:rFonts w:hint="eastAsia" w:ascii="Times New Roman" w:hAnsi="Times New Roman" w:eastAsia="宋体" w:cs="Times New Roman"/>
          <w:color w:val="auto"/>
          <w:highlight w:val="none"/>
          <w:lang w:val="zh-CN" w:eastAsia="zh-CN"/>
        </w:rPr>
        <w:t>。</w:t>
      </w:r>
    </w:p>
    <w:p>
      <w:pPr>
        <w:pStyle w:val="3"/>
        <w:bidi w:val="0"/>
      </w:pPr>
      <w:r>
        <w:rPr>
          <w:rFonts w:hint="eastAsia" w:ascii="宋体" w:hAnsi="宋体" w:eastAsia="宋体" w:cs="宋体"/>
          <w:color w:val="auto"/>
          <w:sz w:val="24"/>
          <w:highlight w:val="none"/>
        </w:rPr>
        <w:br w:type="page"/>
      </w:r>
      <w:bookmarkStart w:id="429" w:name="_Toc19478"/>
      <w:bookmarkStart w:id="430" w:name="_Toc5288"/>
      <w:bookmarkStart w:id="431" w:name="_Toc15792"/>
      <w:bookmarkStart w:id="432" w:name="_Toc25282"/>
      <w:bookmarkStart w:id="433" w:name="_Toc15413"/>
      <w:bookmarkStart w:id="434" w:name="_Toc28446"/>
      <w:bookmarkStart w:id="435" w:name="_Toc13988"/>
      <w:r>
        <w:rPr>
          <w:rFonts w:hint="eastAsia"/>
          <w:lang w:val="en-US" w:eastAsia="zh-CN"/>
        </w:rPr>
        <w:t>7</w:t>
      </w:r>
      <w:r>
        <w:t>完善环境风险防控和应急措施的实施计划</w:t>
      </w:r>
      <w:bookmarkEnd w:id="429"/>
      <w:bookmarkEnd w:id="430"/>
      <w:bookmarkEnd w:id="431"/>
      <w:bookmarkEnd w:id="432"/>
      <w:bookmarkEnd w:id="433"/>
      <w:bookmarkEnd w:id="434"/>
      <w:bookmarkEnd w:id="435"/>
    </w:p>
    <w:p>
      <w:pPr>
        <w:pStyle w:val="37"/>
        <w:spacing w:line="500" w:lineRule="exact"/>
        <w:rPr>
          <w:rFonts w:ascii="Times New Roman" w:cs="Times New Roman"/>
          <w:snapToGrid w:val="0"/>
          <w:color w:val="auto"/>
          <w:kern w:val="0"/>
        </w:rPr>
      </w:pPr>
      <w:r>
        <w:rPr>
          <w:rFonts w:ascii="Times New Roman" w:cs="Times New Roman"/>
          <w:snapToGrid w:val="0"/>
          <w:color w:val="auto"/>
          <w:kern w:val="0"/>
        </w:rPr>
        <w:t>企业环境风险防控和应急措施的实施计划见下表。</w:t>
      </w:r>
    </w:p>
    <w:p>
      <w:pPr>
        <w:spacing w:line="500" w:lineRule="exact"/>
        <w:ind w:left="0" w:firstLine="0" w:firstLineChars="0"/>
        <w:jc w:val="center"/>
        <w:rPr>
          <w:rFonts w:ascii="Times New Roman" w:hAnsi="Times New Roman"/>
          <w:b/>
          <w:color w:val="auto"/>
          <w:kern w:val="44"/>
          <w:sz w:val="24"/>
        </w:rPr>
      </w:pPr>
      <w:r>
        <w:rPr>
          <w:rFonts w:ascii="Times New Roman" w:hAnsi="Times New Roman"/>
          <w:b/>
          <w:color w:val="auto"/>
          <w:kern w:val="44"/>
          <w:sz w:val="24"/>
        </w:rPr>
        <w:t>表</w:t>
      </w:r>
      <w:r>
        <w:rPr>
          <w:rFonts w:hint="eastAsia" w:ascii="Times New Roman" w:hAnsi="Times New Roman"/>
          <w:b/>
          <w:color w:val="auto"/>
          <w:kern w:val="44"/>
          <w:sz w:val="24"/>
          <w:lang w:val="en-US" w:eastAsia="zh-CN"/>
        </w:rPr>
        <w:t>7</w:t>
      </w:r>
      <w:r>
        <w:rPr>
          <w:rFonts w:ascii="Times New Roman" w:hAnsi="Times New Roman"/>
          <w:b/>
          <w:color w:val="auto"/>
          <w:kern w:val="44"/>
          <w:sz w:val="24"/>
        </w:rPr>
        <w:t>-1 环境风险防控和应急措施的实施计划</w:t>
      </w:r>
    </w:p>
    <w:tbl>
      <w:tblPr>
        <w:tblStyle w:val="21"/>
        <w:tblW w:w="4998"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169"/>
        <w:gridCol w:w="1406"/>
        <w:gridCol w:w="4310"/>
        <w:gridCol w:w="1634"/>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jc w:val="center"/>
        </w:trPr>
        <w:tc>
          <w:tcPr>
            <w:tcW w:w="686" w:type="pct"/>
            <w:noWrap w:val="0"/>
            <w:vAlign w:val="center"/>
          </w:tcPr>
          <w:p>
            <w:pPr>
              <w:spacing w:line="240" w:lineRule="auto"/>
              <w:ind w:left="0" w:firstLine="0" w:firstLineChars="0"/>
              <w:jc w:val="center"/>
              <w:rPr>
                <w:rFonts w:ascii="Times New Roman" w:hAnsi="Times New Roman"/>
                <w:bCs/>
                <w:color w:val="auto"/>
                <w:kern w:val="44"/>
                <w:szCs w:val="21"/>
              </w:rPr>
            </w:pPr>
            <w:r>
              <w:rPr>
                <w:rFonts w:ascii="Times New Roman" w:hAnsi="Times New Roman"/>
                <w:bCs/>
                <w:color w:val="auto"/>
                <w:kern w:val="44"/>
                <w:szCs w:val="21"/>
              </w:rPr>
              <w:t>整改期限</w:t>
            </w:r>
          </w:p>
        </w:tc>
        <w:tc>
          <w:tcPr>
            <w:tcW w:w="3354" w:type="pct"/>
            <w:gridSpan w:val="2"/>
            <w:noWrap w:val="0"/>
            <w:vAlign w:val="center"/>
          </w:tcPr>
          <w:p>
            <w:pPr>
              <w:spacing w:line="240" w:lineRule="auto"/>
              <w:ind w:left="0" w:firstLine="0" w:firstLineChars="0"/>
              <w:jc w:val="center"/>
              <w:rPr>
                <w:rFonts w:ascii="Times New Roman" w:hAnsi="Times New Roman"/>
                <w:bCs/>
                <w:color w:val="auto"/>
                <w:kern w:val="44"/>
                <w:szCs w:val="21"/>
              </w:rPr>
            </w:pPr>
            <w:r>
              <w:rPr>
                <w:rFonts w:ascii="Times New Roman" w:hAnsi="Times New Roman"/>
                <w:bCs/>
                <w:color w:val="auto"/>
                <w:kern w:val="44"/>
                <w:szCs w:val="21"/>
              </w:rPr>
              <w:t>实施计划</w:t>
            </w:r>
          </w:p>
        </w:tc>
        <w:tc>
          <w:tcPr>
            <w:tcW w:w="959" w:type="pct"/>
            <w:noWrap w:val="0"/>
            <w:vAlign w:val="center"/>
          </w:tcPr>
          <w:p>
            <w:pPr>
              <w:spacing w:line="240" w:lineRule="auto"/>
              <w:ind w:left="0" w:firstLine="0" w:firstLineChars="0"/>
              <w:jc w:val="center"/>
              <w:rPr>
                <w:rFonts w:hint="eastAsia" w:ascii="Times New Roman" w:hAnsi="Times New Roman" w:eastAsia="宋体"/>
                <w:bCs/>
                <w:color w:val="auto"/>
                <w:kern w:val="44"/>
                <w:szCs w:val="21"/>
                <w:lang w:eastAsia="zh-CN"/>
              </w:rPr>
            </w:pPr>
            <w:r>
              <w:rPr>
                <w:rFonts w:hint="eastAsia" w:ascii="Times New Roman" w:hAnsi="Times New Roman"/>
                <w:bCs/>
                <w:color w:val="auto"/>
                <w:kern w:val="44"/>
                <w:szCs w:val="21"/>
                <w:lang w:eastAsia="zh-CN"/>
              </w:rPr>
              <w:t>完成时间</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jc w:val="center"/>
        </w:trPr>
        <w:tc>
          <w:tcPr>
            <w:tcW w:w="686" w:type="pct"/>
            <w:vMerge w:val="restart"/>
            <w:noWrap w:val="0"/>
            <w:vAlign w:val="center"/>
          </w:tcPr>
          <w:p>
            <w:pPr>
              <w:spacing w:line="240" w:lineRule="auto"/>
              <w:ind w:left="0" w:firstLine="0" w:firstLineChars="0"/>
              <w:jc w:val="center"/>
              <w:rPr>
                <w:rFonts w:ascii="Times New Roman" w:hAnsi="Times New Roman"/>
                <w:bCs/>
                <w:color w:val="auto"/>
                <w:kern w:val="44"/>
                <w:szCs w:val="21"/>
              </w:rPr>
            </w:pPr>
            <w:r>
              <w:rPr>
                <w:rFonts w:ascii="Times New Roman" w:hAnsi="Times New Roman"/>
                <w:bCs/>
                <w:color w:val="auto"/>
                <w:kern w:val="44"/>
                <w:szCs w:val="21"/>
              </w:rPr>
              <w:t>短期</w:t>
            </w:r>
          </w:p>
        </w:tc>
        <w:tc>
          <w:tcPr>
            <w:tcW w:w="825" w:type="pct"/>
            <w:noWrap w:val="0"/>
            <w:vAlign w:val="center"/>
          </w:tcPr>
          <w:p>
            <w:pPr>
              <w:spacing w:line="240" w:lineRule="auto"/>
              <w:ind w:left="0" w:firstLine="0" w:firstLineChars="0"/>
              <w:jc w:val="center"/>
              <w:rPr>
                <w:rFonts w:ascii="Times New Roman" w:hAnsi="Times New Roman"/>
                <w:bCs/>
                <w:color w:val="auto"/>
                <w:kern w:val="44"/>
                <w:szCs w:val="21"/>
              </w:rPr>
            </w:pPr>
            <w:r>
              <w:rPr>
                <w:rFonts w:ascii="Times New Roman" w:hAnsi="Times New Roman"/>
                <w:bCs/>
                <w:color w:val="auto"/>
                <w:kern w:val="44"/>
                <w:szCs w:val="21"/>
              </w:rPr>
              <w:t>环境风险防控及应急措施</w:t>
            </w:r>
          </w:p>
        </w:tc>
        <w:tc>
          <w:tcPr>
            <w:tcW w:w="2529" w:type="pct"/>
            <w:noWrap w:val="0"/>
            <w:vAlign w:val="center"/>
          </w:tcPr>
          <w:p>
            <w:pPr>
              <w:spacing w:line="240" w:lineRule="auto"/>
              <w:ind w:left="0" w:firstLine="0" w:firstLineChars="0"/>
              <w:rPr>
                <w:rFonts w:hint="eastAsia" w:ascii="Times New Roman" w:hAnsi="Times New Roman" w:eastAsia="宋体"/>
                <w:bCs/>
                <w:color w:val="auto"/>
                <w:kern w:val="44"/>
                <w:szCs w:val="21"/>
                <w:lang w:eastAsia="zh-CN"/>
              </w:rPr>
            </w:pPr>
            <w:r>
              <w:rPr>
                <w:rFonts w:ascii="Times New Roman" w:hAnsi="Times New Roman"/>
                <w:bCs/>
                <w:color w:val="auto"/>
                <w:kern w:val="44"/>
                <w:szCs w:val="21"/>
              </w:rPr>
              <w:t>制定定期巡检和维护责任制度。</w:t>
            </w:r>
          </w:p>
        </w:tc>
        <w:tc>
          <w:tcPr>
            <w:tcW w:w="959" w:type="pct"/>
            <w:noWrap w:val="0"/>
            <w:vAlign w:val="center"/>
          </w:tcPr>
          <w:p>
            <w:pPr>
              <w:spacing w:line="240" w:lineRule="auto"/>
              <w:ind w:left="0" w:firstLine="210" w:firstLineChars="100"/>
              <w:rPr>
                <w:rFonts w:hint="default" w:ascii="Times New Roman" w:hAnsi="Times New Roman" w:eastAsia="宋体"/>
                <w:bCs/>
                <w:color w:val="auto"/>
                <w:kern w:val="44"/>
                <w:szCs w:val="21"/>
                <w:lang w:val="en-US" w:eastAsia="zh-CN"/>
              </w:rPr>
            </w:pPr>
            <w:r>
              <w:rPr>
                <w:rFonts w:hint="eastAsia" w:ascii="Times New Roman" w:hAnsi="Times New Roman"/>
                <w:bCs/>
                <w:color w:val="auto"/>
                <w:kern w:val="44"/>
                <w:szCs w:val="21"/>
                <w:lang w:val="en-US" w:eastAsia="zh-CN"/>
              </w:rPr>
              <w:t>2025年3月</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jc w:val="center"/>
        </w:trPr>
        <w:tc>
          <w:tcPr>
            <w:tcW w:w="686" w:type="pct"/>
            <w:vMerge w:val="continue"/>
            <w:noWrap w:val="0"/>
            <w:vAlign w:val="center"/>
          </w:tcPr>
          <w:p>
            <w:pPr>
              <w:spacing w:line="240" w:lineRule="auto"/>
              <w:ind w:left="0" w:firstLine="0" w:firstLineChars="0"/>
              <w:jc w:val="center"/>
              <w:rPr>
                <w:rFonts w:ascii="Times New Roman" w:hAnsi="Times New Roman"/>
                <w:bCs/>
                <w:color w:val="auto"/>
                <w:kern w:val="44"/>
                <w:szCs w:val="21"/>
              </w:rPr>
            </w:pPr>
          </w:p>
        </w:tc>
        <w:tc>
          <w:tcPr>
            <w:tcW w:w="825" w:type="pct"/>
            <w:noWrap w:val="0"/>
            <w:vAlign w:val="center"/>
          </w:tcPr>
          <w:p>
            <w:pPr>
              <w:spacing w:line="240" w:lineRule="auto"/>
              <w:ind w:left="0" w:firstLine="0" w:firstLineChars="0"/>
              <w:jc w:val="center"/>
              <w:rPr>
                <w:rFonts w:ascii="Times New Roman" w:hAnsi="Times New Roman"/>
                <w:bCs/>
                <w:color w:val="auto"/>
                <w:kern w:val="44"/>
                <w:szCs w:val="21"/>
              </w:rPr>
            </w:pPr>
            <w:r>
              <w:rPr>
                <w:rFonts w:ascii="Times New Roman" w:hAnsi="Times New Roman"/>
                <w:bCs/>
                <w:color w:val="auto"/>
                <w:kern w:val="44"/>
                <w:szCs w:val="21"/>
              </w:rPr>
              <w:t>环境风险管理制度</w:t>
            </w:r>
          </w:p>
        </w:tc>
        <w:tc>
          <w:tcPr>
            <w:tcW w:w="2529" w:type="pct"/>
            <w:noWrap w:val="0"/>
            <w:vAlign w:val="center"/>
          </w:tcPr>
          <w:p>
            <w:pPr>
              <w:spacing w:line="240" w:lineRule="auto"/>
              <w:ind w:left="0" w:firstLine="0" w:firstLineChars="0"/>
              <w:rPr>
                <w:rFonts w:hint="eastAsia" w:ascii="Times New Roman" w:hAnsi="Times New Roman" w:eastAsia="宋体"/>
                <w:bCs/>
                <w:color w:val="auto"/>
                <w:kern w:val="44"/>
                <w:szCs w:val="21"/>
                <w:lang w:eastAsia="zh-CN"/>
              </w:rPr>
            </w:pPr>
            <w:r>
              <w:rPr>
                <w:rFonts w:ascii="Times New Roman" w:hAnsi="Times New Roman"/>
                <w:color w:val="auto"/>
                <w:szCs w:val="21"/>
              </w:rPr>
              <w:t>制定环境风险防控和应急措施制度；组织员工开展环境风险源辨识和危险环境因素辨识；制定的针对性强的环保制度</w:t>
            </w:r>
            <w:r>
              <w:rPr>
                <w:rFonts w:hint="eastAsia" w:ascii="Times New Roman" w:hAnsi="Times New Roman"/>
                <w:color w:val="auto"/>
                <w:szCs w:val="21"/>
                <w:lang w:eastAsia="zh-CN"/>
              </w:rPr>
              <w:t>。</w:t>
            </w:r>
          </w:p>
        </w:tc>
        <w:tc>
          <w:tcPr>
            <w:tcW w:w="959" w:type="pct"/>
            <w:noWrap w:val="0"/>
            <w:vAlign w:val="center"/>
          </w:tcPr>
          <w:p>
            <w:pPr>
              <w:spacing w:line="240" w:lineRule="auto"/>
              <w:ind w:left="0" w:firstLine="210" w:firstLineChars="100"/>
              <w:rPr>
                <w:rFonts w:ascii="Times New Roman" w:hAnsi="Times New Roman"/>
                <w:color w:val="auto"/>
                <w:szCs w:val="21"/>
              </w:rPr>
            </w:pPr>
            <w:r>
              <w:rPr>
                <w:rFonts w:hint="eastAsia" w:ascii="Times New Roman" w:hAnsi="Times New Roman"/>
                <w:bCs/>
                <w:color w:val="auto"/>
                <w:kern w:val="44"/>
                <w:szCs w:val="21"/>
                <w:lang w:val="en-US" w:eastAsia="zh-CN"/>
              </w:rPr>
              <w:t>2025年3月</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jc w:val="center"/>
        </w:trPr>
        <w:tc>
          <w:tcPr>
            <w:tcW w:w="686" w:type="pct"/>
            <w:noWrap w:val="0"/>
            <w:vAlign w:val="center"/>
          </w:tcPr>
          <w:p>
            <w:pPr>
              <w:spacing w:line="240" w:lineRule="auto"/>
              <w:ind w:left="0" w:firstLine="0" w:firstLineChars="0"/>
              <w:jc w:val="center"/>
              <w:rPr>
                <w:rFonts w:ascii="Times New Roman" w:hAnsi="Times New Roman"/>
                <w:bCs/>
                <w:color w:val="auto"/>
                <w:kern w:val="44"/>
                <w:szCs w:val="21"/>
              </w:rPr>
            </w:pPr>
            <w:r>
              <w:rPr>
                <w:rFonts w:ascii="Times New Roman" w:hAnsi="Times New Roman"/>
                <w:bCs/>
                <w:color w:val="auto"/>
                <w:kern w:val="44"/>
                <w:szCs w:val="21"/>
              </w:rPr>
              <w:t>中期</w:t>
            </w:r>
          </w:p>
        </w:tc>
        <w:tc>
          <w:tcPr>
            <w:tcW w:w="825" w:type="pct"/>
            <w:noWrap w:val="0"/>
            <w:vAlign w:val="center"/>
          </w:tcPr>
          <w:p>
            <w:pPr>
              <w:spacing w:line="240" w:lineRule="auto"/>
              <w:ind w:left="0" w:firstLine="0" w:firstLineChars="0"/>
              <w:jc w:val="center"/>
              <w:rPr>
                <w:rFonts w:ascii="Times New Roman" w:hAnsi="Times New Roman"/>
                <w:bCs/>
                <w:color w:val="auto"/>
                <w:kern w:val="44"/>
                <w:szCs w:val="21"/>
              </w:rPr>
            </w:pPr>
            <w:r>
              <w:rPr>
                <w:rFonts w:ascii="Times New Roman" w:hAnsi="Times New Roman"/>
                <w:bCs/>
                <w:color w:val="auto"/>
                <w:kern w:val="44"/>
                <w:szCs w:val="21"/>
              </w:rPr>
              <w:t>环境风险管理制度</w:t>
            </w:r>
          </w:p>
        </w:tc>
        <w:tc>
          <w:tcPr>
            <w:tcW w:w="2529" w:type="pct"/>
            <w:noWrap w:val="0"/>
            <w:vAlign w:val="center"/>
          </w:tcPr>
          <w:p>
            <w:pPr>
              <w:spacing w:line="240" w:lineRule="auto"/>
              <w:ind w:left="0" w:firstLine="0" w:firstLineChars="0"/>
              <w:rPr>
                <w:rFonts w:ascii="Times New Roman" w:hAnsi="Times New Roman"/>
                <w:bCs/>
                <w:color w:val="auto"/>
                <w:kern w:val="44"/>
                <w:szCs w:val="21"/>
              </w:rPr>
            </w:pPr>
            <w:r>
              <w:rPr>
                <w:rFonts w:ascii="Times New Roman" w:hAnsi="Times New Roman"/>
                <w:color w:val="auto"/>
                <w:szCs w:val="21"/>
              </w:rPr>
              <w:t>建立环境实践报告制度；开展对周边企业、居民的环境风险和环境应急管理的宣传工作及安全消防工作，开展应急预案演练。</w:t>
            </w:r>
          </w:p>
        </w:tc>
        <w:tc>
          <w:tcPr>
            <w:tcW w:w="959" w:type="pct"/>
            <w:noWrap w:val="0"/>
            <w:vAlign w:val="center"/>
          </w:tcPr>
          <w:p>
            <w:pPr>
              <w:spacing w:line="240" w:lineRule="auto"/>
              <w:ind w:left="0" w:firstLine="210" w:firstLineChars="100"/>
              <w:rPr>
                <w:rFonts w:ascii="Times New Roman" w:hAnsi="Times New Roman"/>
                <w:color w:val="auto"/>
                <w:szCs w:val="21"/>
              </w:rPr>
            </w:pPr>
            <w:r>
              <w:rPr>
                <w:rFonts w:hint="eastAsia" w:ascii="Times New Roman" w:hAnsi="Times New Roman"/>
                <w:bCs/>
                <w:color w:val="auto"/>
                <w:kern w:val="44"/>
                <w:szCs w:val="21"/>
                <w:lang w:val="en-US" w:eastAsia="zh-CN"/>
              </w:rPr>
              <w:t>2025年6月</w:t>
            </w:r>
          </w:p>
        </w:tc>
      </w:tr>
    </w:tbl>
    <w:p>
      <w:pPr>
        <w:pStyle w:val="3"/>
        <w:bidi w:val="0"/>
      </w:pPr>
      <w:r>
        <w:rPr>
          <w:rFonts w:hint="eastAsia"/>
        </w:rPr>
        <w:br w:type="page"/>
      </w:r>
      <w:bookmarkStart w:id="436" w:name="_Toc32339"/>
      <w:bookmarkStart w:id="437" w:name="_Toc27655"/>
      <w:bookmarkStart w:id="438" w:name="_Toc31595"/>
      <w:bookmarkStart w:id="439" w:name="_Toc4559"/>
      <w:bookmarkStart w:id="440" w:name="_Toc12252"/>
      <w:bookmarkStart w:id="441" w:name="_Toc30496"/>
      <w:bookmarkStart w:id="442" w:name="_Toc30432"/>
      <w:r>
        <w:rPr>
          <w:rStyle w:val="25"/>
          <w:rFonts w:hint="eastAsia"/>
          <w:b/>
          <w:lang w:val="en-US" w:eastAsia="zh-CN"/>
        </w:rPr>
        <w:t>8</w:t>
      </w:r>
      <w:bookmarkEnd w:id="436"/>
      <w:bookmarkEnd w:id="437"/>
      <w:bookmarkEnd w:id="438"/>
      <w:bookmarkEnd w:id="439"/>
      <w:bookmarkEnd w:id="440"/>
      <w:r>
        <w:rPr>
          <w:rStyle w:val="25"/>
          <w:rFonts w:hint="default"/>
          <w:b/>
          <w:lang w:val="en-US" w:eastAsia="zh-CN"/>
        </w:rPr>
        <w:t>企业突发环境事件等级确定</w:t>
      </w:r>
      <w:bookmarkEnd w:id="441"/>
      <w:bookmarkEnd w:id="442"/>
    </w:p>
    <w:p>
      <w:pPr>
        <w:pStyle w:val="4"/>
        <w:bidi w:val="0"/>
        <w:rPr>
          <w:rFonts w:hint="default"/>
          <w:lang w:val="en-US" w:eastAsia="zh-CN"/>
        </w:rPr>
      </w:pPr>
      <w:bookmarkStart w:id="443" w:name="_Toc31270"/>
      <w:bookmarkStart w:id="444" w:name="_Toc3119"/>
      <w:bookmarkStart w:id="445" w:name="_Toc23903"/>
      <w:bookmarkStart w:id="446" w:name="_Toc15741"/>
      <w:bookmarkStart w:id="447" w:name="_Toc20899"/>
      <w:bookmarkStart w:id="448" w:name="_Toc3905"/>
      <w:bookmarkStart w:id="449" w:name="_Toc7082"/>
      <w:r>
        <w:rPr>
          <w:rFonts w:hint="eastAsia"/>
          <w:lang w:val="en-US" w:eastAsia="zh-CN"/>
        </w:rPr>
        <w:t>8.1环境风险评价等级</w:t>
      </w:r>
      <w:bookmarkEnd w:id="443"/>
      <w:bookmarkEnd w:id="444"/>
      <w:bookmarkEnd w:id="445"/>
      <w:bookmarkEnd w:id="446"/>
      <w:bookmarkEnd w:id="447"/>
      <w:bookmarkEnd w:id="448"/>
      <w:bookmarkEnd w:id="449"/>
    </w:p>
    <w:p>
      <w:pPr>
        <w:pStyle w:val="10"/>
        <w:spacing w:line="360" w:lineRule="auto"/>
        <w:ind w:firstLine="482"/>
        <w:rPr>
          <w:color w:val="auto"/>
          <w:sz w:val="24"/>
        </w:rPr>
      </w:pPr>
      <w:r>
        <w:rPr>
          <w:rFonts w:eastAsia="宋体" w:cs="Times New Roman"/>
          <w:color w:val="auto"/>
          <w:sz w:val="24"/>
        </w:rPr>
        <w:t>根据《建设项目环境风险评价技术导则》(HJ/T169-20</w:t>
      </w:r>
      <w:r>
        <w:rPr>
          <w:rFonts w:hint="eastAsia" w:eastAsia="宋体" w:cs="Times New Roman"/>
          <w:color w:val="auto"/>
          <w:sz w:val="24"/>
          <w:lang w:val="en-US" w:eastAsia="zh-CN"/>
        </w:rPr>
        <w:t>18）</w:t>
      </w:r>
      <w:r>
        <w:rPr>
          <w:rFonts w:eastAsia="宋体" w:cs="Times New Roman"/>
          <w:color w:val="auto"/>
          <w:sz w:val="24"/>
        </w:rPr>
        <w:t>，长期或临时生产、加工、搬运、使用或储存危险物质，且危险物质的数量等于或超过临界</w:t>
      </w:r>
      <w:r>
        <w:rPr>
          <w:color w:val="auto"/>
          <w:sz w:val="24"/>
        </w:rPr>
        <w:t>量的单元均为重大危险源。根据</w:t>
      </w:r>
      <w:r>
        <w:rPr>
          <w:rFonts w:hint="default" w:ascii="Times New Roman" w:hAnsi="Times New Roman" w:eastAsia="宋体" w:cs="Times New Roman"/>
          <w:sz w:val="24"/>
        </w:rPr>
        <w:t>《危险化学品重大危险源辨识》（GB18218-20</w:t>
      </w:r>
      <w:r>
        <w:rPr>
          <w:rFonts w:hint="eastAsia" w:ascii="Times New Roman" w:hAnsi="Times New Roman" w:cs="Times New Roman"/>
          <w:sz w:val="24"/>
          <w:lang w:val="en-US" w:eastAsia="zh-CN"/>
        </w:rPr>
        <w:t>18</w:t>
      </w:r>
      <w:r>
        <w:rPr>
          <w:rFonts w:hint="default" w:ascii="Times New Roman" w:hAnsi="Times New Roman" w:eastAsia="宋体" w:cs="Times New Roman"/>
          <w:sz w:val="24"/>
        </w:rPr>
        <w:t>）</w:t>
      </w:r>
      <w:r>
        <w:rPr>
          <w:color w:val="auto"/>
          <w:sz w:val="24"/>
        </w:rPr>
        <w:t>，单元内存在危险化学品的数量等于或超过</w:t>
      </w:r>
      <w:r>
        <w:rPr>
          <w:rFonts w:hint="default" w:ascii="Times New Roman" w:hAnsi="Times New Roman" w:eastAsia="宋体" w:cs="Times New Roman"/>
          <w:sz w:val="24"/>
        </w:rPr>
        <w:t>《危险化学品重大危险源辨识》（GB18218-20</w:t>
      </w:r>
      <w:r>
        <w:rPr>
          <w:rFonts w:hint="eastAsia" w:ascii="Times New Roman" w:hAnsi="Times New Roman" w:cs="Times New Roman"/>
          <w:sz w:val="24"/>
          <w:lang w:val="en-US" w:eastAsia="zh-CN"/>
        </w:rPr>
        <w:t>18</w:t>
      </w:r>
      <w:r>
        <w:rPr>
          <w:rFonts w:hint="default" w:ascii="Times New Roman" w:hAnsi="Times New Roman" w:eastAsia="宋体" w:cs="Times New Roman"/>
          <w:sz w:val="24"/>
        </w:rPr>
        <w:t xml:space="preserve"> ）</w:t>
      </w:r>
      <w:r>
        <w:rPr>
          <w:color w:val="auto"/>
          <w:sz w:val="24"/>
        </w:rPr>
        <w:t>中表1、表2规定的临界量，即被定为重大危险源。</w:t>
      </w:r>
    </w:p>
    <w:p>
      <w:pPr>
        <w:pageBreakBefore w:val="0"/>
        <w:widowControl w:val="0"/>
        <w:kinsoku/>
        <w:wordWrap/>
        <w:overflowPunct/>
        <w:topLinePunct w:val="0"/>
        <w:autoSpaceDE/>
        <w:autoSpaceDN/>
        <w:bidi w:val="0"/>
        <w:adjustRightInd w:val="0"/>
        <w:snapToGrid w:val="0"/>
        <w:spacing w:line="500" w:lineRule="exact"/>
        <w:ind w:left="0" w:firstLine="480" w:firstLineChars="200"/>
        <w:jc w:val="left"/>
        <w:textAlignment w:val="auto"/>
        <w:rPr>
          <w:color w:val="auto"/>
          <w:sz w:val="24"/>
        </w:rPr>
      </w:pPr>
      <w:r>
        <w:rPr>
          <w:color w:val="auto"/>
          <w:sz w:val="24"/>
        </w:rPr>
        <w:t>单元内存在的危险化学品的数量根据处理危险化学品种类的多少区分为两种情况：</w:t>
      </w:r>
    </w:p>
    <w:p>
      <w:pPr>
        <w:pageBreakBefore w:val="0"/>
        <w:widowControl w:val="0"/>
        <w:kinsoku/>
        <w:wordWrap/>
        <w:overflowPunct/>
        <w:topLinePunct w:val="0"/>
        <w:autoSpaceDE/>
        <w:autoSpaceDN/>
        <w:bidi w:val="0"/>
        <w:adjustRightInd w:val="0"/>
        <w:snapToGrid w:val="0"/>
        <w:spacing w:line="500" w:lineRule="exact"/>
        <w:ind w:left="0" w:firstLine="480" w:firstLineChars="200"/>
        <w:jc w:val="left"/>
        <w:textAlignment w:val="auto"/>
        <w:rPr>
          <w:color w:val="auto"/>
          <w:sz w:val="24"/>
        </w:rPr>
      </w:pPr>
      <w:r>
        <w:rPr>
          <w:color w:val="auto"/>
          <w:sz w:val="24"/>
        </w:rPr>
        <w:t>(1)单元内存在的危险化学品为单一品种，则该危险化学品的数量即为单元内危险化学品的总量，若等于或超过相应的临界量，则定为重大危险源。</w:t>
      </w:r>
    </w:p>
    <w:p>
      <w:pPr>
        <w:pageBreakBefore w:val="0"/>
        <w:widowControl w:val="0"/>
        <w:kinsoku/>
        <w:wordWrap/>
        <w:overflowPunct/>
        <w:topLinePunct w:val="0"/>
        <w:autoSpaceDE/>
        <w:autoSpaceDN/>
        <w:bidi w:val="0"/>
        <w:adjustRightInd w:val="0"/>
        <w:snapToGrid w:val="0"/>
        <w:spacing w:line="500" w:lineRule="exact"/>
        <w:ind w:left="0" w:firstLine="480" w:firstLineChars="200"/>
        <w:jc w:val="left"/>
        <w:textAlignment w:val="auto"/>
        <w:rPr>
          <w:color w:val="auto"/>
          <w:sz w:val="24"/>
        </w:rPr>
      </w:pPr>
      <w:r>
        <w:rPr>
          <w:color w:val="auto"/>
          <w:sz w:val="24"/>
        </w:rPr>
        <w:t>(2)单元内存在的危险化学品为多品种时，则按下式计算，若满足下面公式，则定为重大危险源：</w:t>
      </w:r>
    </w:p>
    <w:p>
      <w:pPr>
        <w:adjustRightInd w:val="0"/>
        <w:snapToGrid w:val="0"/>
        <w:spacing w:line="360" w:lineRule="auto"/>
        <w:ind w:firstLine="480" w:firstLineChars="200"/>
        <w:jc w:val="center"/>
        <w:rPr>
          <w:color w:val="auto"/>
          <w:sz w:val="24"/>
        </w:rPr>
      </w:pPr>
      <w:r>
        <w:rPr>
          <w:rFonts w:hint="eastAsia" w:ascii="Times New Roman" w:hAnsi="Times New Roman" w:eastAsia="宋体" w:cs="Times New Roman"/>
          <w:color w:val="auto"/>
          <w:sz w:val="24"/>
          <w:highlight w:val="none"/>
          <w:lang w:val="en-US" w:eastAsia="zh-CN"/>
        </w:rPr>
        <w:drawing>
          <wp:inline distT="0" distB="0" distL="114300" distR="114300">
            <wp:extent cx="2600325" cy="514350"/>
            <wp:effectExtent l="0" t="0" r="9525" b="0"/>
            <wp:docPr id="13" name="图片 32" descr="QQ截图2021020723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2" descr="QQ截图20210207234135"/>
                    <pic:cNvPicPr>
                      <a:picLocks noChangeAspect="1"/>
                    </pic:cNvPicPr>
                  </pic:nvPicPr>
                  <pic:blipFill>
                    <a:blip r:embed="rId103"/>
                    <a:stretch>
                      <a:fillRect/>
                    </a:stretch>
                  </pic:blipFill>
                  <pic:spPr>
                    <a:xfrm>
                      <a:off x="0" y="0"/>
                      <a:ext cx="2600325" cy="514350"/>
                    </a:xfrm>
                    <a:prstGeom prst="rect">
                      <a:avLst/>
                    </a:prstGeom>
                    <a:noFill/>
                    <a:ln>
                      <a:noFill/>
                    </a:ln>
                  </pic:spPr>
                </pic:pic>
              </a:graphicData>
            </a:graphic>
          </wp:inline>
        </w:drawing>
      </w:r>
    </w:p>
    <w:p>
      <w:pPr>
        <w:pageBreakBefore w:val="0"/>
        <w:kinsoku/>
        <w:wordWrap/>
        <w:overflowPunct/>
        <w:topLinePunct w:val="0"/>
        <w:autoSpaceDE w:val="0"/>
        <w:autoSpaceDN w:val="0"/>
        <w:bidi w:val="0"/>
        <w:adjustRightInd w:val="0"/>
        <w:spacing w:line="360" w:lineRule="auto"/>
        <w:ind w:firstLine="480" w:firstLineChars="200"/>
        <w:jc w:val="left"/>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式中：</w:t>
      </w:r>
      <w:r>
        <w:rPr>
          <w:rFonts w:hint="eastAsia" w:ascii="Times New Roman" w:hAnsi="Times New Roman" w:cs="Times New Roman"/>
          <w:color w:val="auto"/>
          <w:sz w:val="24"/>
          <w:highlight w:val="none"/>
          <w:lang w:val="en-US" w:eastAsia="zh-CN"/>
        </w:rPr>
        <w:t>w</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w</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w</w:t>
      </w:r>
      <w:r>
        <w:rPr>
          <w:rFonts w:hint="eastAsia" w:ascii="Times New Roman" w:hAnsi="Times New Roman" w:eastAsia="宋体" w:cs="Times New Roman"/>
          <w:color w:val="auto"/>
          <w:sz w:val="24"/>
          <w:highlight w:val="none"/>
          <w:lang w:val="en-US" w:eastAsia="zh-CN"/>
        </w:rPr>
        <w:t>n——每种危险化学品实际存在量，单位为吨（t）；</w:t>
      </w:r>
    </w:p>
    <w:p>
      <w:pPr>
        <w:pageBreakBefore w:val="0"/>
        <w:kinsoku/>
        <w:wordWrap/>
        <w:overflowPunct/>
        <w:topLinePunct w:val="0"/>
        <w:autoSpaceDE w:val="0"/>
        <w:autoSpaceDN w:val="0"/>
        <w:bidi w:val="0"/>
        <w:adjustRightInd w:val="0"/>
        <w:spacing w:line="360" w:lineRule="auto"/>
        <w:ind w:firstLine="480" w:firstLineChars="200"/>
        <w:jc w:val="left"/>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W</w:t>
      </w:r>
      <w:r>
        <w:rPr>
          <w:rFonts w:hint="eastAsia" w:ascii="Times New Roman" w:hAnsi="Times New Roman" w:eastAsia="宋体"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W</w:t>
      </w:r>
      <w:r>
        <w:rPr>
          <w:rFonts w:hint="eastAsia" w:ascii="Times New Roman" w:hAnsi="Times New Roman" w:eastAsia="宋体"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W</w:t>
      </w:r>
      <w:r>
        <w:rPr>
          <w:rFonts w:hint="eastAsia" w:ascii="Times New Roman" w:hAnsi="Times New Roman" w:eastAsia="宋体" w:cs="Times New Roman"/>
          <w:color w:val="auto"/>
          <w:sz w:val="24"/>
          <w:highlight w:val="none"/>
          <w:lang w:val="en-US" w:eastAsia="zh-CN"/>
        </w:rPr>
        <w:t>n—与各危险化学品相对应的临界量，单位为吨（t）。</w:t>
      </w:r>
    </w:p>
    <w:p>
      <w:pPr>
        <w:keepNext w:val="0"/>
        <w:keepLines w:val="0"/>
        <w:pageBreakBefore w:val="0"/>
        <w:widowControl w:val="0"/>
        <w:numPr>
          <w:ilvl w:val="0"/>
          <w:numId w:val="6"/>
        </w:numPr>
        <w:kinsoku/>
        <w:wordWrap/>
        <w:overflowPunct/>
        <w:topLinePunct w:val="0"/>
        <w:autoSpaceDE/>
        <w:autoSpaceDN/>
        <w:bidi w:val="0"/>
        <w:adjustRightInd w:val="0"/>
        <w:snapToGrid w:val="0"/>
        <w:spacing w:line="500" w:lineRule="exact"/>
        <w:ind w:left="0" w:firstLine="480" w:firstLineChars="200"/>
        <w:jc w:val="left"/>
        <w:textAlignment w:val="auto"/>
        <w:rPr>
          <w:rFonts w:hint="eastAsia" w:cs="Times New Roman"/>
          <w:color w:val="auto"/>
          <w:sz w:val="24"/>
          <w:lang w:val="en-US" w:eastAsia="zh-CN"/>
        </w:rPr>
      </w:pPr>
      <w:r>
        <w:rPr>
          <w:rFonts w:hint="eastAsia" w:cs="Times New Roman"/>
          <w:color w:val="auto"/>
          <w:sz w:val="24"/>
          <w:lang w:val="en-US" w:eastAsia="zh-CN"/>
        </w:rPr>
        <w:t>识别结果</w:t>
      </w:r>
    </w:p>
    <w:p>
      <w:pPr>
        <w:spacing w:line="500" w:lineRule="exact"/>
        <w:ind w:left="0" w:firstLine="480" w:firstLineChars="200"/>
        <w:rPr>
          <w:rFonts w:hint="eastAsia" w:ascii="Times New Roman" w:hAnsi="Times New Roman" w:cs="Times New Roman"/>
          <w:sz w:val="24"/>
          <w:lang w:val="en-US" w:eastAsia="zh-CN"/>
        </w:rPr>
      </w:pPr>
      <w:r>
        <w:rPr>
          <w:rFonts w:hint="eastAsia" w:ascii="Times New Roman" w:hAnsi="Times New Roman" w:cs="Times New Roman"/>
          <w:sz w:val="24"/>
          <w:lang w:val="en-US" w:eastAsia="zh-CN"/>
        </w:rPr>
        <w:t>根据本企业化学品管理程序化学品原则上车间不许存储，当天使用当天领取。项目重大危险源识别见下表。</w:t>
      </w:r>
    </w:p>
    <w:p>
      <w:pPr>
        <w:spacing w:line="500" w:lineRule="exact"/>
        <w:ind w:left="0" w:firstLine="0" w:firstLineChars="0"/>
        <w:jc w:val="center"/>
        <w:rPr>
          <w:rFonts w:hint="eastAsia" w:ascii="Times New Roman" w:hAnsi="Times New Roman" w:eastAsia="宋体" w:cs="Times New Roman"/>
          <w:b/>
          <w:color w:val="auto"/>
          <w:kern w:val="44"/>
          <w:sz w:val="24"/>
          <w:lang w:val="en-US" w:eastAsia="zh-CN"/>
        </w:rPr>
      </w:pPr>
      <w:r>
        <w:rPr>
          <w:rFonts w:hint="eastAsia" w:ascii="Times New Roman" w:hAnsi="Times New Roman" w:eastAsia="宋体" w:cs="Times New Roman"/>
          <w:b/>
          <w:color w:val="auto"/>
          <w:kern w:val="44"/>
          <w:sz w:val="24"/>
          <w:lang w:val="en-US" w:eastAsia="zh-CN"/>
        </w:rPr>
        <w:t>表8.1-1 项目</w:t>
      </w:r>
      <w:r>
        <w:rPr>
          <w:rFonts w:hint="eastAsia" w:ascii="Times New Roman" w:hAnsi="Times New Roman" w:cs="Times New Roman"/>
          <w:b/>
          <w:color w:val="auto"/>
          <w:kern w:val="44"/>
          <w:sz w:val="24"/>
          <w:lang w:val="en-US" w:eastAsia="zh-CN"/>
        </w:rPr>
        <w:t>环境风险物质</w:t>
      </w:r>
      <w:r>
        <w:rPr>
          <w:rFonts w:hint="eastAsia" w:ascii="Times New Roman" w:hAnsi="Times New Roman" w:eastAsia="宋体" w:cs="Times New Roman"/>
          <w:b/>
          <w:color w:val="auto"/>
          <w:kern w:val="44"/>
          <w:sz w:val="24"/>
          <w:lang w:val="en-US" w:eastAsia="zh-CN"/>
        </w:rPr>
        <w:t>表</w:t>
      </w:r>
    </w:p>
    <w:tbl>
      <w:tblPr>
        <w:tblStyle w:val="2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1532"/>
        <w:gridCol w:w="2463"/>
        <w:gridCol w:w="1589"/>
        <w:gridCol w:w="1111"/>
        <w:gridCol w:w="11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序号</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环境风险物质</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类别</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rPr>
              <w:t>存储数量/质量</w:t>
            </w:r>
            <w:r>
              <w:rPr>
                <w:rFonts w:hint="default" w:ascii="Times New Roman" w:hAnsi="Times New Roman" w:eastAsia="宋体" w:cs="Times New Roman"/>
                <w:sz w:val="18"/>
                <w:szCs w:val="18"/>
                <w:lang w:eastAsia="zh-CN"/>
              </w:rPr>
              <w:t>（</w:t>
            </w:r>
            <w:r>
              <w:rPr>
                <w:rFonts w:hint="default" w:ascii="Times New Roman" w:hAnsi="Times New Roman" w:eastAsia="宋体" w:cs="Times New Roman"/>
                <w:sz w:val="18"/>
                <w:szCs w:val="18"/>
                <w:lang w:val="en-US" w:eastAsia="zh-CN"/>
              </w:rPr>
              <w:t>t</w:t>
            </w:r>
            <w:r>
              <w:rPr>
                <w:rFonts w:hint="default" w:ascii="Times New Roman" w:hAnsi="Times New Roman" w:eastAsia="宋体" w:cs="Times New Roman"/>
                <w:sz w:val="18"/>
                <w:szCs w:val="18"/>
                <w:lang w:eastAsia="zh-CN"/>
              </w:rPr>
              <w:t>）</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临界量（t）</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苯</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1720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甲醇</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1373.406</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137.3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液化石油气</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17570.91</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1757.1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丙烯</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3790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1858</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185.8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17000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甲基叔丁基醚</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695.1025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8</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油类物质</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第八部分 其他类物质及污染物</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585339.36</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2500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234.1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9</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氨</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第一部分 有毒气态物质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28.12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次氯酸钠</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第五部分 其他有毒物质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11</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12</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氯酸钠</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第五部分 其他有毒物质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13</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盐酸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14</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氢气</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4.</w:t>
            </w:r>
            <w:r>
              <w:rPr>
                <w:rFonts w:hint="default" w:ascii="Times New Roman" w:hAnsi="Times New Roman" w:eastAsia="宋体" w:cs="Times New Roman"/>
                <w:sz w:val="18"/>
                <w:szCs w:val="18"/>
                <w:lang w:val="en-US" w:eastAsia="zh-CN"/>
              </w:rPr>
              <w:t>77</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四氯乙烯</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16</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硫化氢</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第一部分 有毒气态物质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17</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一氧化碳</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第一部分 有毒气态物质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20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18</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四氯化钛</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0.08</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19</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第五部分 其他有毒物质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90</w:t>
            </w:r>
            <w:r>
              <w:rPr>
                <w:rFonts w:hint="default" w:ascii="Times New Roman" w:hAnsi="Times New Roman" w:eastAsia="宋体" w:cs="Times New Roman"/>
                <w:sz w:val="18"/>
                <w:szCs w:val="18"/>
                <w:lang w:val="en-US" w:eastAsia="zh-CN"/>
              </w:rPr>
              <w:t>.0005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异丙醇</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0.013</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21</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乙醇</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0.0035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500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22</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乙醚</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23</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石油醚</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24</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硫酸镉</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第五部分 其他有毒物质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0.0015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25</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硫酸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0.0035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26</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盐酸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0.0045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27</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硝酸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28</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氢氟酸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29</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甲酸</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0.001</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30</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丙酮</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0.006</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31</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甲苯</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32</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四氯化碳</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0.003</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33</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丁酮</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34</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正己烷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第四部分 易燃液态物质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35</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环己烷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36</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三氯甲烷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0.0005</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37</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二氯甲烷</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38</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氨水</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第三部分 有毒液态物质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0.002</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39</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乙炔</w:t>
            </w: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第二部分 易燃易爆气态物质</w:t>
            </w: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0.04</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18"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总和</w:t>
            </w:r>
          </w:p>
        </w:tc>
        <w:tc>
          <w:tcPr>
            <w:tcW w:w="899"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rPr>
            </w:pPr>
          </w:p>
        </w:tc>
        <w:tc>
          <w:tcPr>
            <w:tcW w:w="1445"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p>
        </w:tc>
        <w:tc>
          <w:tcPr>
            <w:tcW w:w="93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p>
        </w:tc>
        <w:tc>
          <w:tcPr>
            <w:tcW w:w="652" w:type="pct"/>
            <w:tcBorders>
              <w:tl2br w:val="nil"/>
              <w:tr2bl w:val="nil"/>
            </w:tcBorders>
            <w:shd w:val="clear" w:color="auto" w:fill="auto"/>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sz w:val="18"/>
                <w:szCs w:val="18"/>
                <w:lang w:val="en-US" w:eastAsia="zh-CN"/>
              </w:rPr>
            </w:pPr>
          </w:p>
        </w:tc>
        <w:tc>
          <w:tcPr>
            <w:tcW w:w="652" w:type="pct"/>
            <w:tcBorders>
              <w:tl2br w:val="nil"/>
              <w:tr2bl w:val="nil"/>
            </w:tcBorders>
            <w:shd w:val="clear" w:color="auto" w:fill="auto"/>
            <w:vAlign w:val="center"/>
          </w:tcPr>
          <w:p>
            <w:pPr>
              <w:keepNext w:val="0"/>
              <w:keepLines w:val="0"/>
              <w:widowControl/>
              <w:suppressLineNumbers w:val="0"/>
              <w:jc w:val="right"/>
              <w:textAlignment w:val="center"/>
              <w:rPr>
                <w:rFonts w:hint="default" w:ascii="宋体" w:hAnsi="宋体" w:eastAsia="宋体" w:cs="宋体"/>
                <w:i w:val="0"/>
                <w:iCs w:val="0"/>
                <w:color w:val="000000"/>
                <w:kern w:val="2"/>
                <w:sz w:val="22"/>
                <w:szCs w:val="22"/>
                <w:u w:val="none"/>
                <w:lang w:val="en-US" w:eastAsia="zh-CN" w:bidi="ar-SA"/>
              </w:rPr>
            </w:pPr>
            <w:r>
              <w:rPr>
                <w:rFonts w:hint="eastAsia" w:ascii="宋体" w:hAnsi="宋体" w:eastAsia="宋体" w:cs="宋体"/>
                <w:i w:val="0"/>
                <w:iCs w:val="0"/>
                <w:color w:val="000000"/>
                <w:kern w:val="0"/>
                <w:sz w:val="22"/>
                <w:szCs w:val="22"/>
                <w:u w:val="none"/>
                <w:lang w:val="en-US" w:eastAsia="zh-CN" w:bidi="ar"/>
              </w:rPr>
              <w:t>4654.49</w:t>
            </w:r>
          </w:p>
        </w:tc>
      </w:tr>
    </w:tbl>
    <w:p>
      <w:pPr>
        <w:pStyle w:val="12"/>
        <w:rPr>
          <w:rFonts w:hint="default"/>
          <w:lang w:val="en-US" w:eastAsia="zh-CN"/>
        </w:rPr>
      </w:pPr>
    </w:p>
    <w:p>
      <w:pPr>
        <w:pStyle w:val="4"/>
        <w:bidi w:val="0"/>
      </w:pPr>
      <w:bookmarkStart w:id="450" w:name="_Toc432580200"/>
      <w:bookmarkStart w:id="451" w:name="_Toc136"/>
      <w:bookmarkStart w:id="452" w:name="_Toc25245"/>
      <w:bookmarkStart w:id="453" w:name="_Toc14669"/>
      <w:bookmarkStart w:id="454" w:name="_Toc13287"/>
      <w:bookmarkStart w:id="455" w:name="_Toc28644"/>
      <w:bookmarkStart w:id="456" w:name="_Toc27364"/>
      <w:bookmarkStart w:id="457" w:name="_Toc23937"/>
      <w:r>
        <w:rPr>
          <w:rFonts w:hint="eastAsia"/>
          <w:lang w:val="en-US" w:eastAsia="zh-CN"/>
        </w:rPr>
        <w:t>8</w:t>
      </w:r>
      <w:r>
        <w:t>.</w:t>
      </w:r>
      <w:bookmarkEnd w:id="450"/>
      <w:r>
        <w:rPr>
          <w:rFonts w:hint="eastAsia"/>
          <w:lang w:val="en-US" w:eastAsia="zh-CN"/>
        </w:rPr>
        <w:t>2</w:t>
      </w:r>
      <w:r>
        <w:t>突发大气环境事件风险分级</w:t>
      </w:r>
      <w:bookmarkEnd w:id="451"/>
      <w:bookmarkEnd w:id="452"/>
      <w:bookmarkEnd w:id="453"/>
      <w:bookmarkEnd w:id="454"/>
      <w:bookmarkEnd w:id="455"/>
      <w:bookmarkEnd w:id="456"/>
      <w:bookmarkEnd w:id="457"/>
    </w:p>
    <w:p>
      <w:pPr>
        <w:spacing w:line="500" w:lineRule="exact"/>
        <w:ind w:left="0" w:firstLine="480" w:firstLineChars="200"/>
        <w:rPr>
          <w:rFonts w:ascii="Times New Roman" w:hAnsi="Times New Roman"/>
          <w:color w:val="auto"/>
          <w:sz w:val="24"/>
        </w:rPr>
      </w:pPr>
      <w:r>
        <w:rPr>
          <w:rFonts w:ascii="Times New Roman" w:hAnsi="Times New Roman"/>
          <w:color w:val="auto"/>
          <w:sz w:val="24"/>
        </w:rPr>
        <w:t>根据企业生产、使用、存储和释放的突发环境事件风险物质数量与其临界量的比值（Q），评估生产工艺过程与环境风险控制水平（M）以及环境风险受体敏感程度（E）的评估分析结果，分别评估企业突发大气环境事件风险和突发水环境事件风险，将企业突发大气或水环境事件风险等级划分为一般环境风险、较大环境风险和重大环境风险三级，分别用蓝色、黄色和红色标识。同时涉及突发大气和水环境事件风险的企业，以等级高者确定企业突发环境事件风险等级。</w:t>
      </w:r>
    </w:p>
    <w:p>
      <w:pPr>
        <w:spacing w:line="240" w:lineRule="auto"/>
        <w:ind w:left="412" w:hanging="412"/>
        <w:jc w:val="center"/>
        <w:rPr>
          <w:rFonts w:ascii="Times New Roman" w:hAnsi="Times New Roman"/>
          <w:color w:val="auto"/>
        </w:rPr>
      </w:pPr>
      <w:r>
        <w:rPr>
          <w:rFonts w:ascii="Times New Roman" w:hAnsi="Times New Roman"/>
          <w:color w:val="auto"/>
        </w:rPr>
        <w:drawing>
          <wp:inline distT="0" distB="0" distL="114300" distR="114300">
            <wp:extent cx="4758055" cy="3143250"/>
            <wp:effectExtent l="0" t="0" r="4445" b="0"/>
            <wp:docPr id="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3"/>
                    <pic:cNvPicPr>
                      <a:picLocks noChangeAspect="1"/>
                    </pic:cNvPicPr>
                  </pic:nvPicPr>
                  <pic:blipFill>
                    <a:blip r:embed="rId104"/>
                    <a:stretch>
                      <a:fillRect/>
                    </a:stretch>
                  </pic:blipFill>
                  <pic:spPr>
                    <a:xfrm>
                      <a:off x="0" y="0"/>
                      <a:ext cx="4758055" cy="3143250"/>
                    </a:xfrm>
                    <a:prstGeom prst="rect">
                      <a:avLst/>
                    </a:prstGeom>
                    <a:noFill/>
                    <a:ln>
                      <a:noFill/>
                    </a:ln>
                  </pic:spPr>
                </pic:pic>
              </a:graphicData>
            </a:graphic>
          </wp:inline>
        </w:drawing>
      </w:r>
    </w:p>
    <w:p>
      <w:pPr>
        <w:spacing w:line="500" w:lineRule="exact"/>
        <w:ind w:left="472" w:hanging="472"/>
        <w:jc w:val="center"/>
        <w:rPr>
          <w:rFonts w:ascii="Times New Roman" w:hAnsi="Times New Roman"/>
          <w:b/>
          <w:bCs/>
          <w:color w:val="auto"/>
          <w:sz w:val="24"/>
        </w:rPr>
      </w:pPr>
      <w:r>
        <w:rPr>
          <w:rFonts w:ascii="Times New Roman" w:hAnsi="Times New Roman"/>
          <w:b/>
          <w:bCs/>
          <w:color w:val="auto"/>
          <w:sz w:val="24"/>
        </w:rPr>
        <w:t>图</w:t>
      </w:r>
      <w:r>
        <w:rPr>
          <w:rFonts w:hint="eastAsia" w:ascii="Times New Roman" w:hAnsi="Times New Roman"/>
          <w:b/>
          <w:bCs/>
          <w:color w:val="auto"/>
          <w:sz w:val="24"/>
          <w:lang w:val="en-US" w:eastAsia="zh-CN"/>
        </w:rPr>
        <w:t>8.2</w:t>
      </w:r>
      <w:r>
        <w:rPr>
          <w:rFonts w:ascii="Times New Roman" w:hAnsi="Times New Roman"/>
          <w:b/>
          <w:bCs/>
          <w:color w:val="auto"/>
          <w:sz w:val="24"/>
        </w:rPr>
        <w:t>-1 企业突发环境事件风险分级流程示意图</w:t>
      </w:r>
    </w:p>
    <w:p>
      <w:pPr>
        <w:spacing w:line="500" w:lineRule="exact"/>
        <w:ind w:left="0" w:firstLine="480" w:firstLineChars="200"/>
        <w:rPr>
          <w:rFonts w:ascii="Times New Roman" w:hAnsi="Times New Roman"/>
          <w:color w:val="auto"/>
          <w:sz w:val="24"/>
        </w:rPr>
      </w:pPr>
      <w:r>
        <w:rPr>
          <w:rFonts w:ascii="Times New Roman" w:hAnsi="Times New Roman"/>
          <w:color w:val="auto"/>
          <w:sz w:val="24"/>
        </w:rPr>
        <w:t>对照《企业突发环境事件风险分级方法》（FJ941-2018）附录A中的第一、第二、第三、第四、第六部分全部风险物质以及第八部分中除NH</w:t>
      </w:r>
      <w:r>
        <w:rPr>
          <w:rFonts w:ascii="Times New Roman" w:hAnsi="Times New Roman"/>
          <w:color w:val="auto"/>
          <w:sz w:val="24"/>
          <w:vertAlign w:val="subscript"/>
        </w:rPr>
        <w:t>3</w:t>
      </w:r>
      <w:r>
        <w:rPr>
          <w:rFonts w:ascii="Times New Roman" w:hAnsi="Times New Roman"/>
          <w:color w:val="auto"/>
          <w:sz w:val="24"/>
        </w:rPr>
        <w:t>-N浓度≥2000mg/L的废液、COD</w:t>
      </w:r>
      <w:r>
        <w:rPr>
          <w:rFonts w:ascii="Times New Roman" w:hAnsi="Times New Roman"/>
          <w:color w:val="auto"/>
          <w:sz w:val="24"/>
          <w:vertAlign w:val="subscript"/>
        </w:rPr>
        <w:t>Cr</w:t>
      </w:r>
      <w:r>
        <w:rPr>
          <w:rFonts w:ascii="Times New Roman" w:hAnsi="Times New Roman"/>
          <w:color w:val="auto"/>
          <w:sz w:val="24"/>
        </w:rPr>
        <w:t>浓度≥10000mg/L的有机废液之外的气态和可挥发造成突发大气环境事件的固态、液态风险物质。判断企业生产原料、产品、中间产品、副产品、催化剂、辅助生产物料、燃料、“三废”。计算涉气风险物质在厂界内的存在量。</w:t>
      </w:r>
    </w:p>
    <w:p>
      <w:pPr>
        <w:spacing w:line="500" w:lineRule="exact"/>
        <w:ind w:left="0" w:firstLine="480" w:firstLineChars="200"/>
        <w:rPr>
          <w:rFonts w:ascii="Times New Roman" w:hAnsi="Times New Roman"/>
          <w:color w:val="auto"/>
          <w:sz w:val="24"/>
        </w:rPr>
      </w:pPr>
      <w:r>
        <w:rPr>
          <w:rFonts w:ascii="Times New Roman" w:hAnsi="Times New Roman"/>
          <w:color w:val="auto"/>
          <w:sz w:val="24"/>
        </w:rPr>
        <w:t>比值Q：</w:t>
      </w:r>
    </w:p>
    <w:p>
      <w:pPr>
        <w:spacing w:line="240" w:lineRule="auto"/>
        <w:ind w:left="412" w:hanging="412"/>
        <w:jc w:val="center"/>
        <w:rPr>
          <w:rFonts w:ascii="Times New Roman" w:hAnsi="Times New Roman"/>
          <w:color w:val="auto"/>
          <w:spacing w:val="6"/>
          <w:sz w:val="24"/>
          <w:lang w:val="zh-CN"/>
        </w:rPr>
      </w:pPr>
      <w:r>
        <w:rPr>
          <w:rFonts w:ascii="Times New Roman" w:hAnsi="Times New Roman"/>
          <w:color w:val="auto"/>
        </w:rPr>
        <w:drawing>
          <wp:inline distT="0" distB="0" distL="114300" distR="114300">
            <wp:extent cx="3945255" cy="592455"/>
            <wp:effectExtent l="0" t="0" r="17145" b="17145"/>
            <wp:docPr id="1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4"/>
                    <pic:cNvPicPr>
                      <a:picLocks noChangeAspect="1"/>
                    </pic:cNvPicPr>
                  </pic:nvPicPr>
                  <pic:blipFill>
                    <a:blip r:embed="rId105"/>
                    <a:stretch>
                      <a:fillRect/>
                    </a:stretch>
                  </pic:blipFill>
                  <pic:spPr>
                    <a:xfrm>
                      <a:off x="0" y="0"/>
                      <a:ext cx="3945255" cy="592455"/>
                    </a:xfrm>
                    <a:prstGeom prst="rect">
                      <a:avLst/>
                    </a:prstGeom>
                    <a:noFill/>
                    <a:ln>
                      <a:noFill/>
                    </a:ln>
                  </pic:spPr>
                </pic:pic>
              </a:graphicData>
            </a:graphic>
          </wp:inline>
        </w:drawing>
      </w:r>
    </w:p>
    <w:p>
      <w:pPr>
        <w:spacing w:line="500" w:lineRule="exact"/>
        <w:ind w:left="470" w:hanging="470"/>
        <w:rPr>
          <w:rFonts w:ascii="Times New Roman" w:hAnsi="Times New Roman"/>
          <w:color w:val="auto"/>
          <w:sz w:val="24"/>
        </w:rPr>
      </w:pPr>
      <w:r>
        <w:rPr>
          <w:rFonts w:ascii="Times New Roman" w:hAnsi="Times New Roman"/>
          <w:color w:val="auto"/>
          <w:sz w:val="24"/>
        </w:rPr>
        <w:t>式中：w</w:t>
      </w:r>
      <w:r>
        <w:rPr>
          <w:rFonts w:ascii="Times New Roman" w:hAnsi="Times New Roman"/>
          <w:color w:val="auto"/>
          <w:sz w:val="24"/>
          <w:vertAlign w:val="subscript"/>
        </w:rPr>
        <w:t>1</w:t>
      </w:r>
      <w:r>
        <w:rPr>
          <w:rFonts w:ascii="Times New Roman" w:hAnsi="Times New Roman"/>
          <w:color w:val="auto"/>
          <w:sz w:val="24"/>
        </w:rPr>
        <w:t>，w</w:t>
      </w:r>
      <w:r>
        <w:rPr>
          <w:rFonts w:ascii="Times New Roman" w:hAnsi="Times New Roman"/>
          <w:color w:val="auto"/>
          <w:sz w:val="24"/>
          <w:vertAlign w:val="subscript"/>
        </w:rPr>
        <w:t>2</w:t>
      </w:r>
      <w:r>
        <w:rPr>
          <w:rFonts w:ascii="Times New Roman" w:hAnsi="Times New Roman"/>
          <w:color w:val="auto"/>
          <w:sz w:val="24"/>
        </w:rPr>
        <w:t>，···w</w:t>
      </w:r>
      <w:r>
        <w:rPr>
          <w:rFonts w:ascii="Times New Roman" w:hAnsi="Times New Roman"/>
          <w:color w:val="auto"/>
          <w:sz w:val="24"/>
          <w:vertAlign w:val="subscript"/>
        </w:rPr>
        <w:t>n</w:t>
      </w:r>
      <w:r>
        <w:rPr>
          <w:rFonts w:ascii="Times New Roman" w:hAnsi="Times New Roman"/>
          <w:color w:val="auto"/>
          <w:sz w:val="24"/>
        </w:rPr>
        <w:t>——每种风险物质的存在量，t；</w:t>
      </w:r>
    </w:p>
    <w:p>
      <w:pPr>
        <w:spacing w:line="500" w:lineRule="exact"/>
        <w:ind w:left="470" w:hanging="470"/>
        <w:rPr>
          <w:rFonts w:ascii="Times New Roman" w:hAnsi="Times New Roman"/>
          <w:color w:val="auto"/>
          <w:sz w:val="24"/>
        </w:rPr>
      </w:pPr>
      <w:r>
        <w:rPr>
          <w:rFonts w:ascii="Times New Roman" w:hAnsi="Times New Roman"/>
          <w:color w:val="auto"/>
          <w:sz w:val="24"/>
        </w:rPr>
        <w:t>W</w:t>
      </w:r>
      <w:r>
        <w:rPr>
          <w:rFonts w:ascii="Times New Roman" w:hAnsi="Times New Roman"/>
          <w:color w:val="auto"/>
          <w:sz w:val="24"/>
          <w:vertAlign w:val="subscript"/>
        </w:rPr>
        <w:t>1</w:t>
      </w:r>
      <w:r>
        <w:rPr>
          <w:rFonts w:ascii="Times New Roman" w:hAnsi="Times New Roman"/>
          <w:color w:val="auto"/>
          <w:sz w:val="24"/>
        </w:rPr>
        <w:t>，W</w:t>
      </w:r>
      <w:r>
        <w:rPr>
          <w:rFonts w:ascii="Times New Roman" w:hAnsi="Times New Roman"/>
          <w:color w:val="auto"/>
          <w:sz w:val="24"/>
          <w:vertAlign w:val="subscript"/>
        </w:rPr>
        <w:t>2</w:t>
      </w:r>
      <w:r>
        <w:rPr>
          <w:rFonts w:ascii="Times New Roman" w:hAnsi="Times New Roman"/>
          <w:color w:val="auto"/>
          <w:sz w:val="24"/>
        </w:rPr>
        <w:t>···W</w:t>
      </w:r>
      <w:r>
        <w:rPr>
          <w:rFonts w:ascii="Times New Roman" w:hAnsi="Times New Roman"/>
          <w:color w:val="auto"/>
          <w:sz w:val="24"/>
          <w:vertAlign w:val="subscript"/>
        </w:rPr>
        <w:t>n</w:t>
      </w:r>
      <w:r>
        <w:rPr>
          <w:rFonts w:ascii="Times New Roman" w:hAnsi="Times New Roman"/>
          <w:color w:val="auto"/>
          <w:sz w:val="24"/>
        </w:rPr>
        <w:t>——每种风险物质的临界量，t。</w:t>
      </w:r>
    </w:p>
    <w:p>
      <w:pPr>
        <w:spacing w:line="500" w:lineRule="exact"/>
        <w:ind w:left="0" w:firstLine="480" w:firstLineChars="200"/>
        <w:rPr>
          <w:rFonts w:ascii="Times New Roman" w:hAnsi="Times New Roman"/>
          <w:color w:val="auto"/>
          <w:sz w:val="24"/>
        </w:rPr>
      </w:pPr>
      <w:r>
        <w:rPr>
          <w:rFonts w:ascii="Times New Roman" w:hAnsi="Times New Roman"/>
          <w:color w:val="auto"/>
          <w:sz w:val="24"/>
        </w:rPr>
        <w:t>按照数值大小，将Q划分为4个水平：</w:t>
      </w:r>
    </w:p>
    <w:p>
      <w:pPr>
        <w:spacing w:line="500" w:lineRule="exact"/>
        <w:ind w:left="0" w:firstLine="480" w:firstLineChars="200"/>
        <w:rPr>
          <w:rFonts w:ascii="Times New Roman" w:hAnsi="Times New Roman"/>
          <w:color w:val="auto"/>
          <w:sz w:val="24"/>
        </w:rPr>
      </w:pPr>
      <w:r>
        <w:rPr>
          <w:rFonts w:ascii="Times New Roman" w:hAnsi="Times New Roman"/>
          <w:color w:val="auto"/>
          <w:sz w:val="24"/>
        </w:rPr>
        <w:t>（1）Q＜1，以Q0表示，企业直接评为一般环境风险等级；</w:t>
      </w:r>
    </w:p>
    <w:p>
      <w:pPr>
        <w:spacing w:line="500" w:lineRule="exact"/>
        <w:ind w:left="0" w:firstLine="480" w:firstLineChars="200"/>
        <w:rPr>
          <w:rFonts w:ascii="Times New Roman" w:hAnsi="Times New Roman"/>
          <w:color w:val="auto"/>
          <w:sz w:val="24"/>
        </w:rPr>
      </w:pPr>
      <w:r>
        <w:rPr>
          <w:rFonts w:ascii="Times New Roman" w:hAnsi="Times New Roman"/>
          <w:color w:val="auto"/>
          <w:sz w:val="24"/>
        </w:rPr>
        <w:t>（2）1≤Q＜10，以Q1表示；</w:t>
      </w:r>
    </w:p>
    <w:p>
      <w:pPr>
        <w:spacing w:line="500" w:lineRule="exact"/>
        <w:ind w:left="0" w:firstLine="480" w:firstLineChars="200"/>
        <w:rPr>
          <w:rFonts w:ascii="Times New Roman" w:hAnsi="Times New Roman"/>
          <w:color w:val="auto"/>
          <w:sz w:val="24"/>
        </w:rPr>
      </w:pPr>
      <w:r>
        <w:rPr>
          <w:rFonts w:ascii="Times New Roman" w:hAnsi="Times New Roman"/>
          <w:color w:val="auto"/>
          <w:sz w:val="24"/>
        </w:rPr>
        <w:t>（3）10≤Q＜100，以Q2表示；</w:t>
      </w:r>
    </w:p>
    <w:p>
      <w:pPr>
        <w:numPr>
          <w:ilvl w:val="0"/>
          <w:numId w:val="7"/>
        </w:numPr>
        <w:spacing w:line="500" w:lineRule="exact"/>
        <w:ind w:left="0" w:firstLine="480" w:firstLineChars="200"/>
        <w:rPr>
          <w:rFonts w:ascii="Times New Roman" w:hAnsi="Times New Roman"/>
          <w:color w:val="auto"/>
          <w:sz w:val="24"/>
        </w:rPr>
      </w:pPr>
      <w:r>
        <w:rPr>
          <w:rFonts w:ascii="Times New Roman" w:hAnsi="Times New Roman"/>
          <w:color w:val="auto"/>
          <w:sz w:val="24"/>
        </w:rPr>
        <w:t>Q≥100，以Q3表示。</w:t>
      </w:r>
    </w:p>
    <w:p>
      <w:pPr>
        <w:spacing w:line="500" w:lineRule="exact"/>
        <w:ind w:left="0" w:firstLine="480" w:firstLineChars="200"/>
        <w:rPr>
          <w:rFonts w:hint="eastAsia" w:ascii="Times New Roman" w:hAnsi="Times New Roman" w:eastAsia="宋体"/>
          <w:color w:val="auto"/>
          <w:sz w:val="24"/>
          <w:lang w:eastAsia="zh-CN"/>
        </w:rPr>
      </w:pPr>
      <w:r>
        <w:rPr>
          <w:rFonts w:hint="default" w:ascii="Times New Roman" w:hAnsi="Times New Roman" w:eastAsia="宋体" w:cs="Times New Roman"/>
          <w:color w:val="auto"/>
          <w:sz w:val="24"/>
        </w:rPr>
        <w:t>根据对企业环境风险物</w:t>
      </w:r>
      <w:r>
        <w:rPr>
          <w:rFonts w:hint="default" w:ascii="Times New Roman" w:hAnsi="Times New Roman" w:eastAsia="宋体" w:cs="Times New Roman"/>
          <w:color w:val="auto"/>
          <w:sz w:val="24"/>
          <w:lang w:eastAsia="zh-CN"/>
        </w:rPr>
        <w:t>质</w:t>
      </w:r>
      <w:r>
        <w:rPr>
          <w:rFonts w:hint="eastAsia" w:ascii="Times New Roman" w:hAnsi="Times New Roman" w:eastAsia="宋体" w:cs="Times New Roman"/>
          <w:color w:val="auto"/>
          <w:sz w:val="24"/>
          <w:lang w:eastAsia="zh-CN"/>
        </w:rPr>
        <w:t>核查，</w:t>
      </w:r>
      <w:r>
        <w:rPr>
          <w:rFonts w:hint="eastAsia" w:ascii="Times New Roman" w:hAnsi="Times New Roman" w:eastAsia="宋体" w:cs="Times New Roman"/>
          <w:color w:val="auto"/>
          <w:sz w:val="24"/>
          <w:lang w:val="en-US" w:eastAsia="zh-CN"/>
        </w:rPr>
        <w:t>Q=4654.49</w:t>
      </w:r>
      <w:r>
        <w:rPr>
          <w:rFonts w:hint="eastAsia" w:ascii="Times New Roman" w:hAnsi="Times New Roman" w:eastAsia="宋体" w:cs="Times New Roman"/>
          <w:color w:val="auto"/>
          <w:sz w:val="24"/>
          <w:lang w:eastAsia="zh-CN"/>
        </w:rPr>
        <w:t>。故本项目</w:t>
      </w:r>
      <w:r>
        <w:rPr>
          <w:rFonts w:hint="default" w:ascii="Times New Roman" w:hAnsi="Times New Roman" w:eastAsia="宋体" w:cs="Times New Roman"/>
          <w:color w:val="auto"/>
          <w:sz w:val="24"/>
        </w:rPr>
        <w:t>以Q</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表示</w:t>
      </w:r>
      <w:r>
        <w:rPr>
          <w:rFonts w:hint="eastAsia" w:ascii="Times New Roman" w:hAnsi="Times New Roman"/>
          <w:color w:val="auto"/>
          <w:sz w:val="24"/>
          <w:lang w:eastAsia="zh-CN"/>
        </w:rPr>
        <w:t>。</w:t>
      </w:r>
    </w:p>
    <w:p>
      <w:pPr>
        <w:pStyle w:val="5"/>
        <w:bidi w:val="0"/>
        <w:rPr>
          <w:rFonts w:hint="eastAsia"/>
          <w:lang w:val="en-US" w:eastAsia="zh-CN"/>
        </w:rPr>
      </w:pPr>
      <w:bookmarkStart w:id="458" w:name="_Toc19783"/>
      <w:bookmarkStart w:id="459" w:name="_Toc9887"/>
      <w:r>
        <w:rPr>
          <w:rFonts w:hint="eastAsia"/>
          <w:lang w:val="en-US" w:eastAsia="zh-CN"/>
        </w:rPr>
        <w:t>8.2.1生产工艺过程与大气环境风险控制水平（M）评估</w:t>
      </w:r>
      <w:bookmarkEnd w:id="458"/>
      <w:bookmarkEnd w:id="459"/>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采用评分法对企业生产工艺过程、大气环境风险防控措施及突发大气环境事件发生情况进行评估，将各项指标分值累加，确定企业生产工艺过程与大气环境风险控制水平（M）。</w:t>
      </w:r>
    </w:p>
    <w:p>
      <w:pPr>
        <w:pStyle w:val="6"/>
        <w:bidi w:val="0"/>
        <w:rPr>
          <w:rFonts w:hint="eastAsia"/>
          <w:lang w:val="en-US" w:eastAsia="zh-CN"/>
        </w:rPr>
      </w:pPr>
      <w:r>
        <w:rPr>
          <w:rFonts w:hint="eastAsia"/>
          <w:lang w:val="en-US" w:eastAsia="zh-CN"/>
        </w:rPr>
        <w:t>8.2.1.1生产工艺过程含有风险工艺和设备情况</w:t>
      </w:r>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对企业生产工艺过程含有风险工艺和设备情况的评估按照工艺单元进行，具有多套工艺单元的企业，对每套工艺单元分别评分并求和，该指标分值最高为30分。本企业生产工艺过程含有风险工艺和设备情况的评估见表8.2.1-1。</w:t>
      </w:r>
    </w:p>
    <w:p>
      <w:pPr>
        <w:pStyle w:val="7"/>
        <w:pageBreakBefore w:val="0"/>
        <w:wordWrap/>
        <w:topLinePunct w:val="0"/>
        <w:bidi w:val="0"/>
        <w:spacing w:line="360" w:lineRule="auto"/>
        <w:ind w:left="0" w:leftChars="0" w:right="0" w:rightChars="0" w:firstLine="0" w:firstLineChars="0"/>
        <w:jc w:val="center"/>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表8.2.1-1 企业生产工艺</w:t>
      </w:r>
    </w:p>
    <w:tbl>
      <w:tblPr>
        <w:tblStyle w:val="21"/>
        <w:tblW w:w="4998"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3821"/>
        <w:gridCol w:w="1084"/>
        <w:gridCol w:w="3614"/>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243"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评估依据</w:t>
            </w:r>
          </w:p>
        </w:tc>
        <w:tc>
          <w:tcPr>
            <w:tcW w:w="636"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分值</w:t>
            </w:r>
          </w:p>
        </w:tc>
        <w:tc>
          <w:tcPr>
            <w:tcW w:w="2119" w:type="pct"/>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得分情况</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243"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636"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10/每套</w:t>
            </w:r>
          </w:p>
        </w:tc>
        <w:tc>
          <w:tcPr>
            <w:tcW w:w="2119" w:type="pct"/>
            <w:noWrap w:val="0"/>
            <w:vAlign w:val="center"/>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rPr>
              <w:t>本行业是石油炼制行业</w:t>
            </w:r>
            <w:r>
              <w:rPr>
                <w:rFonts w:hint="eastAsia" w:ascii="Times New Roman" w:hAnsi="Times New Roman" w:eastAsia="宋体" w:cs="Times New Roman"/>
                <w:szCs w:val="21"/>
                <w:lang w:eastAsia="zh-CN"/>
              </w:rPr>
              <w:t>，</w:t>
            </w:r>
            <w:r>
              <w:rPr>
                <w:rFonts w:hint="default" w:ascii="Times New Roman" w:hAnsi="Times New Roman" w:eastAsia="宋体" w:cs="Times New Roman"/>
                <w:szCs w:val="21"/>
              </w:rPr>
              <w:t>涉及裂化工艺</w:t>
            </w: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lang w:val="en-US" w:eastAsia="zh-CN"/>
              </w:rPr>
              <w:t>同时140万吨/年柴油加氢降凝装置、30万吨/年煤油加氢精制装置、90万吨/年柴油加氢改质装置、120万吨/年催化汽油加氢脱硫装置涉及加氢工艺；所以共计得50分。</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243" w:type="pct"/>
            <w:noWrap w:val="0"/>
            <w:vAlign w:val="center"/>
          </w:tcPr>
          <w:p>
            <w:pPr>
              <w:spacing w:line="240" w:lineRule="auto"/>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其他高温或高压、涉及易燃易爆等物质的工艺过程a</w:t>
            </w:r>
          </w:p>
        </w:tc>
        <w:tc>
          <w:tcPr>
            <w:tcW w:w="636" w:type="pct"/>
            <w:noWrap w:val="0"/>
            <w:vAlign w:val="center"/>
          </w:tcPr>
          <w:p>
            <w:pPr>
              <w:spacing w:line="240" w:lineRule="auto"/>
              <w:ind w:left="0" w:firstLine="0" w:firstLineChars="0"/>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rPr>
              <w:t>5/每套</w:t>
            </w:r>
          </w:p>
        </w:tc>
        <w:tc>
          <w:tcPr>
            <w:tcW w:w="2119" w:type="pct"/>
            <w:noWrap w:val="0"/>
            <w:vAlign w:val="center"/>
          </w:tcPr>
          <w:p>
            <w:pPr>
              <w:spacing w:line="240" w:lineRule="auto"/>
              <w:ind w:left="0" w:firstLine="0" w:firstLineChars="0"/>
              <w:jc w:val="center"/>
              <w:rPr>
                <w:rFonts w:hint="default" w:ascii="Times New Roman" w:hAnsi="Times New Roman" w:eastAsia="宋体" w:cs="Times New Roman"/>
                <w:bCs/>
                <w:szCs w:val="21"/>
                <w:lang w:val="en-US" w:eastAsia="zh-CN"/>
              </w:rPr>
            </w:pPr>
            <w:r>
              <w:rPr>
                <w:rFonts w:hint="eastAsia" w:ascii="Times New Roman" w:hAnsi="Times New Roman" w:eastAsia="宋体" w:cs="Times New Roman"/>
                <w:bCs/>
                <w:szCs w:val="21"/>
                <w:lang w:val="en-US" w:eastAsia="zh-CN"/>
              </w:rPr>
              <w:t>柴油加氢改质反应及加热炉工段为高温高压工艺过程；其余15个工艺单元涉及易燃易爆物质工艺过程。所以共计得85分。</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243"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具有国家规定限期淘汰的工艺名录和设备b</w:t>
            </w:r>
          </w:p>
        </w:tc>
        <w:tc>
          <w:tcPr>
            <w:tcW w:w="636"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5/每套</w:t>
            </w:r>
          </w:p>
        </w:tc>
        <w:tc>
          <w:tcPr>
            <w:tcW w:w="2119" w:type="pct"/>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无</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243"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不涉及以上危险工艺过程或国家规定的禁用工艺/设备 </w:t>
            </w:r>
          </w:p>
        </w:tc>
        <w:tc>
          <w:tcPr>
            <w:tcW w:w="636"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c>
          <w:tcPr>
            <w:tcW w:w="2119" w:type="pct"/>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无</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243"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总分</w:t>
            </w:r>
          </w:p>
        </w:tc>
        <w:tc>
          <w:tcPr>
            <w:tcW w:w="636" w:type="pct"/>
            <w:noWrap w:val="0"/>
            <w:vAlign w:val="top"/>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30</w:t>
            </w:r>
          </w:p>
        </w:tc>
        <w:tc>
          <w:tcPr>
            <w:tcW w:w="2119" w:type="pct"/>
            <w:noWrap w:val="0"/>
            <w:vAlign w:val="top"/>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注：a高温指工艺温度≥300℃，高压指压力容器的设计压力（p）≥10.0MPa，易燃易爆等物质是指按照GB30000.2至GB30000.13 所确定的化学物质；b指《产业结构调整指导目录》中有淘汰期限的淘汰类落后生产工艺装备</w:t>
            </w:r>
          </w:p>
        </w:tc>
      </w:tr>
    </w:tbl>
    <w:p>
      <w:pPr>
        <w:pStyle w:val="6"/>
        <w:bidi w:val="0"/>
        <w:rPr>
          <w:rFonts w:hint="eastAsia"/>
          <w:lang w:val="en-US" w:eastAsia="zh-CN"/>
        </w:rPr>
      </w:pPr>
      <w:r>
        <w:rPr>
          <w:rFonts w:hint="eastAsia"/>
          <w:lang w:val="en-US" w:eastAsia="zh-CN"/>
        </w:rPr>
        <w:t>8.2.1.2大气环境风险防控措施及突发大气环境事件发生情况</w:t>
      </w:r>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企业大气环境风险防控措施及突发大气环境事件发生情况评估指标见</w:t>
      </w:r>
      <w:r>
        <w:rPr>
          <w:rFonts w:hint="eastAsia" w:ascii="Times New Roman" w:hAnsi="Times New Roman" w:cs="Times New Roman"/>
          <w:color w:val="auto"/>
          <w:sz w:val="24"/>
          <w:lang w:val="en-US" w:eastAsia="zh-CN"/>
        </w:rPr>
        <w:t>下表</w:t>
      </w:r>
      <w:r>
        <w:rPr>
          <w:rFonts w:hint="eastAsia" w:ascii="Times New Roman" w:hAnsi="Times New Roman" w:eastAsia="宋体" w:cs="Times New Roman"/>
          <w:color w:val="auto"/>
          <w:sz w:val="24"/>
          <w:lang w:val="en-US" w:eastAsia="zh-CN"/>
        </w:rPr>
        <w:t>。对各项评估指标分别评分、计算总和，各项指标分值合计最高为70分。</w:t>
      </w:r>
    </w:p>
    <w:p>
      <w:pPr>
        <w:pStyle w:val="7"/>
        <w:pageBreakBefore w:val="0"/>
        <w:wordWrap/>
        <w:topLinePunct w:val="0"/>
        <w:bidi w:val="0"/>
        <w:spacing w:line="360" w:lineRule="auto"/>
        <w:ind w:left="0" w:leftChars="0" w:right="0" w:rightChars="0" w:firstLine="0" w:firstLineChars="0"/>
        <w:jc w:val="center"/>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表8.2.1-2 企业大气环境风险防控措施与突发大气环境事件发生情况评估</w:t>
      </w:r>
    </w:p>
    <w:tbl>
      <w:tblPr>
        <w:tblStyle w:val="21"/>
        <w:tblW w:w="5000"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1577"/>
        <w:gridCol w:w="2933"/>
        <w:gridCol w:w="1100"/>
        <w:gridCol w:w="1780"/>
        <w:gridCol w:w="1132"/>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925"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评估指标</w:t>
            </w:r>
          </w:p>
        </w:tc>
        <w:tc>
          <w:tcPr>
            <w:tcW w:w="1720"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评估依据</w:t>
            </w:r>
          </w:p>
        </w:tc>
        <w:tc>
          <w:tcPr>
            <w:tcW w:w="645"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分值</w:t>
            </w:r>
          </w:p>
        </w:tc>
        <w:tc>
          <w:tcPr>
            <w:tcW w:w="1044"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实际情况</w:t>
            </w:r>
          </w:p>
        </w:tc>
        <w:tc>
          <w:tcPr>
            <w:tcW w:w="663"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得分</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925" w:type="pct"/>
            <w:vMerge w:val="restar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毒性气体泄漏</w:t>
            </w:r>
          </w:p>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监控预警措施</w:t>
            </w:r>
          </w:p>
        </w:tc>
        <w:tc>
          <w:tcPr>
            <w:tcW w:w="1720" w:type="pct"/>
            <w:noWrap w:val="0"/>
            <w:vAlign w:val="center"/>
          </w:tcPr>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（1）不涉及附录A中有毒有害气体的；或</w:t>
            </w:r>
          </w:p>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（2）根据实际情况，具备有毒有害气体（如硫化氢、氰化氢、氯化氢、光气、氯气、氨气、苯等）厂界泄漏监控预警系统的</w:t>
            </w:r>
          </w:p>
        </w:tc>
        <w:tc>
          <w:tcPr>
            <w:tcW w:w="645" w:type="pct"/>
            <w:noWrap w:val="0"/>
            <w:vAlign w:val="center"/>
          </w:tcPr>
          <w:p>
            <w:pPr>
              <w:spacing w:line="240" w:lineRule="auto"/>
              <w:ind w:left="0" w:right="42" w:rightChars="2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c>
          <w:tcPr>
            <w:tcW w:w="1044" w:type="pct"/>
            <w:vMerge w:val="restart"/>
            <w:noWrap w:val="0"/>
            <w:vAlign w:val="center"/>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eastAsia" w:ascii="Times New Roman" w:hAnsi="Times New Roman" w:cs="Times New Roman"/>
                <w:bCs/>
                <w:szCs w:val="21"/>
                <w:lang w:eastAsia="zh-CN"/>
              </w:rPr>
              <w:t>无</w:t>
            </w:r>
            <w:r>
              <w:rPr>
                <w:rFonts w:hint="default" w:ascii="Times New Roman" w:hAnsi="Times New Roman" w:eastAsia="宋体" w:cs="Times New Roman"/>
                <w:bCs/>
                <w:szCs w:val="21"/>
              </w:rPr>
              <w:t>厂界有毒有害气体泄漏监控预警系统</w:t>
            </w:r>
          </w:p>
        </w:tc>
        <w:tc>
          <w:tcPr>
            <w:tcW w:w="663" w:type="pct"/>
            <w:vMerge w:val="restart"/>
            <w:noWrap w:val="0"/>
            <w:vAlign w:val="center"/>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25</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925" w:type="pct"/>
            <w:vMerge w:val="continue"/>
            <w:noWrap w:val="0"/>
            <w:vAlign w:val="center"/>
          </w:tcPr>
          <w:p>
            <w:pPr>
              <w:spacing w:line="240" w:lineRule="auto"/>
              <w:ind w:left="0" w:firstLine="0" w:firstLineChars="0"/>
              <w:jc w:val="center"/>
              <w:rPr>
                <w:rFonts w:hint="default" w:ascii="Times New Roman" w:hAnsi="Times New Roman" w:eastAsia="宋体" w:cs="Times New Roman"/>
                <w:szCs w:val="21"/>
              </w:rPr>
            </w:pPr>
          </w:p>
        </w:tc>
        <w:tc>
          <w:tcPr>
            <w:tcW w:w="1720" w:type="pct"/>
            <w:noWrap w:val="0"/>
            <w:vAlign w:val="center"/>
          </w:tcPr>
          <w:p>
            <w:pPr>
              <w:spacing w:line="240" w:lineRule="auto"/>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不具备厂界有毒有害气体泄漏监控预警系统的</w:t>
            </w:r>
          </w:p>
        </w:tc>
        <w:tc>
          <w:tcPr>
            <w:tcW w:w="645" w:type="pct"/>
            <w:noWrap w:val="0"/>
            <w:vAlign w:val="center"/>
          </w:tcPr>
          <w:p>
            <w:pPr>
              <w:spacing w:line="240" w:lineRule="auto"/>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25</w:t>
            </w:r>
          </w:p>
        </w:tc>
        <w:tc>
          <w:tcPr>
            <w:tcW w:w="1044" w:type="pct"/>
            <w:vMerge w:val="continue"/>
            <w:noWrap w:val="0"/>
            <w:vAlign w:val="center"/>
          </w:tcPr>
          <w:p>
            <w:pPr>
              <w:spacing w:line="240" w:lineRule="auto"/>
              <w:ind w:left="0" w:firstLine="0" w:firstLineChars="0"/>
              <w:jc w:val="center"/>
              <w:rPr>
                <w:rFonts w:hint="default" w:ascii="Times New Roman" w:hAnsi="Times New Roman" w:eastAsia="宋体" w:cs="Times New Roman"/>
                <w:bCs/>
                <w:szCs w:val="21"/>
              </w:rPr>
            </w:pPr>
          </w:p>
        </w:tc>
        <w:tc>
          <w:tcPr>
            <w:tcW w:w="663" w:type="pct"/>
            <w:vMerge w:val="continue"/>
            <w:noWrap w:val="0"/>
            <w:vAlign w:val="center"/>
          </w:tcPr>
          <w:p>
            <w:pPr>
              <w:spacing w:line="240" w:lineRule="auto"/>
              <w:ind w:left="0" w:firstLine="0" w:firstLineChars="0"/>
              <w:jc w:val="center"/>
              <w:rPr>
                <w:rFonts w:hint="default" w:ascii="Times New Roman" w:hAnsi="Times New Roman" w:eastAsia="宋体" w:cs="Times New Roman"/>
                <w:bCs/>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925" w:type="pct"/>
            <w:vMerge w:val="restar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符合防护距离</w:t>
            </w:r>
          </w:p>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情况</w:t>
            </w:r>
          </w:p>
        </w:tc>
        <w:tc>
          <w:tcPr>
            <w:tcW w:w="1720" w:type="pct"/>
            <w:noWrap w:val="0"/>
            <w:vAlign w:val="center"/>
          </w:tcPr>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符合环评及批复文件防护距离要求的</w:t>
            </w:r>
          </w:p>
        </w:tc>
        <w:tc>
          <w:tcPr>
            <w:tcW w:w="645"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c>
          <w:tcPr>
            <w:tcW w:w="1044" w:type="pct"/>
            <w:vMerge w:val="restart"/>
            <w:noWrap w:val="0"/>
            <w:vAlign w:val="center"/>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符合环评汇总要求的防护距离。</w:t>
            </w:r>
          </w:p>
        </w:tc>
        <w:tc>
          <w:tcPr>
            <w:tcW w:w="663" w:type="pct"/>
            <w:vMerge w:val="restar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925" w:type="pct"/>
            <w:vMerge w:val="continue"/>
            <w:noWrap w:val="0"/>
            <w:vAlign w:val="center"/>
          </w:tcPr>
          <w:p>
            <w:pPr>
              <w:spacing w:line="240" w:lineRule="auto"/>
              <w:ind w:left="0" w:firstLine="0" w:firstLineChars="0"/>
              <w:jc w:val="center"/>
              <w:rPr>
                <w:rFonts w:hint="default" w:ascii="Times New Roman" w:hAnsi="Times New Roman" w:eastAsia="宋体" w:cs="Times New Roman"/>
                <w:szCs w:val="21"/>
              </w:rPr>
            </w:pPr>
          </w:p>
        </w:tc>
        <w:tc>
          <w:tcPr>
            <w:tcW w:w="1720" w:type="pct"/>
            <w:noWrap w:val="0"/>
            <w:vAlign w:val="center"/>
          </w:tcPr>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不符合环评及批复文件防护距离要求的</w:t>
            </w:r>
          </w:p>
        </w:tc>
        <w:tc>
          <w:tcPr>
            <w:tcW w:w="645"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25</w:t>
            </w:r>
          </w:p>
        </w:tc>
        <w:tc>
          <w:tcPr>
            <w:tcW w:w="1044" w:type="pct"/>
            <w:vMerge w:val="continue"/>
            <w:noWrap w:val="0"/>
            <w:vAlign w:val="center"/>
          </w:tcPr>
          <w:p>
            <w:pPr>
              <w:spacing w:line="240" w:lineRule="auto"/>
              <w:ind w:left="0" w:firstLine="0" w:firstLineChars="0"/>
              <w:jc w:val="center"/>
              <w:rPr>
                <w:rFonts w:hint="default" w:ascii="Times New Roman" w:hAnsi="Times New Roman" w:eastAsia="宋体" w:cs="Times New Roman"/>
                <w:szCs w:val="21"/>
              </w:rPr>
            </w:pPr>
          </w:p>
        </w:tc>
        <w:tc>
          <w:tcPr>
            <w:tcW w:w="663" w:type="pct"/>
            <w:vMerge w:val="continue"/>
            <w:noWrap w:val="0"/>
            <w:vAlign w:val="center"/>
          </w:tcPr>
          <w:p>
            <w:pPr>
              <w:spacing w:line="240" w:lineRule="auto"/>
              <w:ind w:left="0" w:firstLine="0" w:firstLineChars="0"/>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925" w:type="pct"/>
            <w:vMerge w:val="restar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近3年内突发大气环境事件发生情况</w:t>
            </w:r>
          </w:p>
        </w:tc>
        <w:tc>
          <w:tcPr>
            <w:tcW w:w="1720" w:type="pct"/>
            <w:noWrap w:val="0"/>
            <w:vAlign w:val="center"/>
          </w:tcPr>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发生过特别重大或重大等级突发大气环境事件的</w:t>
            </w:r>
          </w:p>
        </w:tc>
        <w:tc>
          <w:tcPr>
            <w:tcW w:w="645"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20</w:t>
            </w:r>
          </w:p>
        </w:tc>
        <w:tc>
          <w:tcPr>
            <w:tcW w:w="1044" w:type="pct"/>
            <w:vMerge w:val="restar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未发生</w:t>
            </w:r>
          </w:p>
        </w:tc>
        <w:tc>
          <w:tcPr>
            <w:tcW w:w="663" w:type="pct"/>
            <w:vMerge w:val="restar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925" w:type="pct"/>
            <w:vMerge w:val="continue"/>
            <w:noWrap w:val="0"/>
            <w:vAlign w:val="center"/>
          </w:tcPr>
          <w:p>
            <w:pPr>
              <w:spacing w:line="240" w:lineRule="auto"/>
              <w:ind w:left="0" w:firstLine="0" w:firstLineChars="0"/>
              <w:rPr>
                <w:rFonts w:hint="default" w:ascii="Times New Roman" w:hAnsi="Times New Roman" w:eastAsia="宋体" w:cs="Times New Roman"/>
                <w:szCs w:val="21"/>
              </w:rPr>
            </w:pPr>
          </w:p>
        </w:tc>
        <w:tc>
          <w:tcPr>
            <w:tcW w:w="1720" w:type="pct"/>
            <w:noWrap w:val="0"/>
            <w:vAlign w:val="center"/>
          </w:tcPr>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发生过较大等级突发大气环境事件的</w:t>
            </w:r>
          </w:p>
        </w:tc>
        <w:tc>
          <w:tcPr>
            <w:tcW w:w="645"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15</w:t>
            </w:r>
          </w:p>
        </w:tc>
        <w:tc>
          <w:tcPr>
            <w:tcW w:w="1044" w:type="pct"/>
            <w:vMerge w:val="continue"/>
            <w:noWrap w:val="0"/>
            <w:vAlign w:val="center"/>
          </w:tcPr>
          <w:p>
            <w:pPr>
              <w:spacing w:line="240" w:lineRule="auto"/>
              <w:ind w:left="0" w:firstLine="0" w:firstLineChars="0"/>
              <w:rPr>
                <w:rFonts w:hint="default" w:ascii="Times New Roman" w:hAnsi="Times New Roman" w:eastAsia="宋体" w:cs="Times New Roman"/>
                <w:szCs w:val="21"/>
              </w:rPr>
            </w:pPr>
          </w:p>
        </w:tc>
        <w:tc>
          <w:tcPr>
            <w:tcW w:w="663" w:type="pct"/>
            <w:vMerge w:val="continue"/>
            <w:noWrap w:val="0"/>
            <w:vAlign w:val="center"/>
          </w:tcPr>
          <w:p>
            <w:pPr>
              <w:spacing w:line="240" w:lineRule="auto"/>
              <w:ind w:left="0" w:firstLine="0" w:firstLineChars="0"/>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925" w:type="pct"/>
            <w:vMerge w:val="continue"/>
            <w:noWrap w:val="0"/>
            <w:vAlign w:val="center"/>
          </w:tcPr>
          <w:p>
            <w:pPr>
              <w:spacing w:line="240" w:lineRule="auto"/>
              <w:ind w:left="0" w:firstLine="0" w:firstLineChars="0"/>
              <w:rPr>
                <w:rFonts w:hint="default" w:ascii="Times New Roman" w:hAnsi="Times New Roman" w:eastAsia="宋体" w:cs="Times New Roman"/>
                <w:szCs w:val="21"/>
              </w:rPr>
            </w:pPr>
          </w:p>
        </w:tc>
        <w:tc>
          <w:tcPr>
            <w:tcW w:w="1720" w:type="pct"/>
            <w:noWrap w:val="0"/>
            <w:vAlign w:val="center"/>
          </w:tcPr>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发生过一般等级突发大气环境事件的</w:t>
            </w:r>
          </w:p>
        </w:tc>
        <w:tc>
          <w:tcPr>
            <w:tcW w:w="645"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c>
          <w:tcPr>
            <w:tcW w:w="1044" w:type="pct"/>
            <w:vMerge w:val="continue"/>
            <w:noWrap w:val="0"/>
            <w:vAlign w:val="center"/>
          </w:tcPr>
          <w:p>
            <w:pPr>
              <w:spacing w:line="240" w:lineRule="auto"/>
              <w:ind w:left="0" w:firstLine="0" w:firstLineChars="0"/>
              <w:rPr>
                <w:rFonts w:hint="default" w:ascii="Times New Roman" w:hAnsi="Times New Roman" w:eastAsia="宋体" w:cs="Times New Roman"/>
                <w:szCs w:val="21"/>
              </w:rPr>
            </w:pPr>
          </w:p>
        </w:tc>
        <w:tc>
          <w:tcPr>
            <w:tcW w:w="663" w:type="pct"/>
            <w:vMerge w:val="continue"/>
            <w:noWrap w:val="0"/>
            <w:vAlign w:val="center"/>
          </w:tcPr>
          <w:p>
            <w:pPr>
              <w:spacing w:line="240" w:lineRule="auto"/>
              <w:ind w:left="0" w:firstLine="0" w:firstLineChars="0"/>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925" w:type="pct"/>
            <w:vMerge w:val="continue"/>
            <w:noWrap w:val="0"/>
            <w:vAlign w:val="center"/>
          </w:tcPr>
          <w:p>
            <w:pPr>
              <w:spacing w:line="240" w:lineRule="auto"/>
              <w:ind w:left="0" w:firstLine="0" w:firstLineChars="0"/>
              <w:rPr>
                <w:rFonts w:hint="default" w:ascii="Times New Roman" w:hAnsi="Times New Roman" w:eastAsia="宋体" w:cs="Times New Roman"/>
                <w:szCs w:val="21"/>
              </w:rPr>
            </w:pPr>
          </w:p>
        </w:tc>
        <w:tc>
          <w:tcPr>
            <w:tcW w:w="1720" w:type="pct"/>
            <w:noWrap w:val="0"/>
            <w:vAlign w:val="center"/>
          </w:tcPr>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未发生突发大气环境事件的</w:t>
            </w:r>
          </w:p>
        </w:tc>
        <w:tc>
          <w:tcPr>
            <w:tcW w:w="645"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c>
          <w:tcPr>
            <w:tcW w:w="1044" w:type="pct"/>
            <w:vMerge w:val="continue"/>
            <w:noWrap w:val="0"/>
            <w:vAlign w:val="center"/>
          </w:tcPr>
          <w:p>
            <w:pPr>
              <w:spacing w:line="240" w:lineRule="auto"/>
              <w:ind w:left="0" w:firstLine="0" w:firstLineChars="0"/>
              <w:rPr>
                <w:rFonts w:hint="default" w:ascii="Times New Roman" w:hAnsi="Times New Roman" w:eastAsia="宋体" w:cs="Times New Roman"/>
                <w:szCs w:val="21"/>
              </w:rPr>
            </w:pPr>
          </w:p>
        </w:tc>
        <w:tc>
          <w:tcPr>
            <w:tcW w:w="663" w:type="pct"/>
            <w:vMerge w:val="continue"/>
            <w:noWrap w:val="0"/>
            <w:vAlign w:val="center"/>
          </w:tcPr>
          <w:p>
            <w:pPr>
              <w:spacing w:line="240" w:lineRule="auto"/>
              <w:ind w:left="0" w:firstLine="0" w:firstLineChars="0"/>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645" w:type="pct"/>
            <w:gridSpan w:val="2"/>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得分</w:t>
            </w:r>
          </w:p>
        </w:tc>
        <w:tc>
          <w:tcPr>
            <w:tcW w:w="645" w:type="pct"/>
            <w:noWrap w:val="0"/>
            <w:vAlign w:val="center"/>
          </w:tcPr>
          <w:p>
            <w:pPr>
              <w:spacing w:line="240" w:lineRule="auto"/>
              <w:ind w:left="0" w:firstLine="0" w:firstLineChars="0"/>
              <w:jc w:val="center"/>
              <w:rPr>
                <w:rFonts w:hint="default" w:ascii="Times New Roman" w:hAnsi="Times New Roman" w:eastAsia="宋体" w:cs="Times New Roman"/>
                <w:szCs w:val="21"/>
              </w:rPr>
            </w:pPr>
          </w:p>
        </w:tc>
        <w:tc>
          <w:tcPr>
            <w:tcW w:w="1044" w:type="pct"/>
            <w:noWrap w:val="0"/>
            <w:vAlign w:val="center"/>
          </w:tcPr>
          <w:p>
            <w:pPr>
              <w:spacing w:line="240" w:lineRule="auto"/>
              <w:ind w:left="0" w:firstLine="0" w:firstLineChars="0"/>
              <w:jc w:val="center"/>
              <w:rPr>
                <w:rFonts w:hint="default" w:ascii="Times New Roman" w:hAnsi="Times New Roman" w:eastAsia="宋体" w:cs="Times New Roman"/>
                <w:szCs w:val="21"/>
              </w:rPr>
            </w:pPr>
          </w:p>
        </w:tc>
        <w:tc>
          <w:tcPr>
            <w:tcW w:w="663" w:type="pct"/>
            <w:noWrap w:val="0"/>
            <w:vAlign w:val="center"/>
          </w:tcPr>
          <w:p>
            <w:pPr>
              <w:spacing w:line="240" w:lineRule="auto"/>
              <w:ind w:left="0" w:firstLine="0" w:firstLineChars="0"/>
              <w:jc w:val="center"/>
              <w:rPr>
                <w:rFonts w:hint="default" w:ascii="Times New Roman" w:hAnsi="Times New Roman" w:eastAsia="宋体" w:cs="Times New Roman"/>
                <w:b/>
                <w:szCs w:val="21"/>
                <w:lang w:val="en-US" w:eastAsia="zh-CN"/>
              </w:rPr>
            </w:pPr>
            <w:r>
              <w:rPr>
                <w:rFonts w:hint="eastAsia" w:ascii="Times New Roman" w:hAnsi="Times New Roman" w:cs="Times New Roman"/>
                <w:b/>
                <w:szCs w:val="21"/>
                <w:lang w:val="en-US" w:eastAsia="zh-CN"/>
              </w:rPr>
              <w:t>25</w:t>
            </w:r>
          </w:p>
        </w:tc>
      </w:tr>
    </w:tbl>
    <w:p>
      <w:pPr>
        <w:pStyle w:val="6"/>
        <w:bidi w:val="0"/>
        <w:rPr>
          <w:rFonts w:hint="eastAsia"/>
          <w:lang w:val="en-US" w:eastAsia="zh-CN"/>
        </w:rPr>
      </w:pPr>
      <w:r>
        <w:rPr>
          <w:rFonts w:hint="eastAsia"/>
          <w:lang w:val="en-US" w:eastAsia="zh-CN"/>
        </w:rPr>
        <w:t>8.2.1.3企业生产工艺过程与大气环境风险控制水平</w:t>
      </w:r>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将企业生产工艺过程、大气环境风险防控措施及突发大气环境事件发生情况各项指标评估分值累加，得出生产工艺过程与大气环境风险控制水平值，按照表8.</w:t>
      </w:r>
      <w:r>
        <w:rPr>
          <w:rFonts w:hint="eastAsia" w:ascii="Times New Roman" w:hAnsi="Times New Roman" w:cs="Times New Roman"/>
          <w:color w:val="auto"/>
          <w:sz w:val="24"/>
          <w:lang w:val="en-US" w:eastAsia="zh-CN"/>
        </w:rPr>
        <w:t>.2.</w:t>
      </w:r>
      <w:r>
        <w:rPr>
          <w:rFonts w:hint="eastAsia" w:ascii="Times New Roman" w:hAnsi="Times New Roman" w:eastAsia="宋体" w:cs="Times New Roman"/>
          <w:color w:val="auto"/>
          <w:sz w:val="24"/>
          <w:lang w:val="en-US" w:eastAsia="zh-CN"/>
        </w:rPr>
        <w:t>1-3划分为4个类型。</w:t>
      </w:r>
    </w:p>
    <w:p>
      <w:pPr>
        <w:jc w:val="center"/>
        <w:rPr>
          <w:rFonts w:ascii="Times New Roman" w:hAnsi="Times New Roman" w:cs="Times New Roman"/>
          <w:color w:val="auto"/>
          <w:sz w:val="24"/>
          <w:szCs w:val="24"/>
          <w:highlight w:val="none"/>
        </w:rPr>
      </w:pPr>
      <w:r>
        <w:rPr>
          <w:rFonts w:ascii="Times New Roman" w:hAnsi="Times New Roman" w:eastAsia="黑体" w:cs="Times New Roman"/>
          <w:color w:val="auto"/>
          <w:sz w:val="24"/>
          <w:szCs w:val="24"/>
          <w:highlight w:val="none"/>
        </w:rPr>
        <w:t>表</w:t>
      </w:r>
      <w:r>
        <w:rPr>
          <w:rFonts w:hint="eastAsia" w:ascii="Times New Roman" w:hAnsi="Times New Roman" w:eastAsia="黑体" w:cs="Times New Roman"/>
          <w:color w:val="auto"/>
          <w:sz w:val="24"/>
          <w:szCs w:val="24"/>
          <w:highlight w:val="none"/>
        </w:rPr>
        <w:t>8</w:t>
      </w:r>
      <w:r>
        <w:rPr>
          <w:rFonts w:ascii="Times New Roman" w:hAnsi="Times New Roman" w:eastAsia="黑体" w:cs="Times New Roman"/>
          <w:color w:val="auto"/>
          <w:sz w:val="24"/>
          <w:szCs w:val="24"/>
          <w:highlight w:val="none"/>
        </w:rPr>
        <w:t>.</w:t>
      </w:r>
      <w:r>
        <w:rPr>
          <w:rFonts w:hint="eastAsia" w:ascii="Times New Roman" w:hAnsi="Times New Roman" w:eastAsia="黑体" w:cs="Times New Roman"/>
          <w:color w:val="auto"/>
          <w:sz w:val="24"/>
          <w:szCs w:val="24"/>
          <w:highlight w:val="none"/>
          <w:lang w:val="en-US" w:eastAsia="zh-CN"/>
        </w:rPr>
        <w:t>2.1</w:t>
      </w:r>
      <w:r>
        <w:rPr>
          <w:rFonts w:ascii="Times New Roman" w:hAnsi="Times New Roman" w:eastAsia="黑体" w:cs="Times New Roman"/>
          <w:color w:val="auto"/>
          <w:sz w:val="24"/>
          <w:szCs w:val="24"/>
          <w:highlight w:val="none"/>
        </w:rPr>
        <w:t>-</w:t>
      </w:r>
      <w:r>
        <w:rPr>
          <w:rFonts w:hint="eastAsia" w:ascii="Times New Roman" w:hAnsi="Times New Roman" w:eastAsia="黑体" w:cs="Times New Roman"/>
          <w:color w:val="auto"/>
          <w:sz w:val="24"/>
          <w:szCs w:val="24"/>
          <w:highlight w:val="none"/>
          <w:lang w:val="en-US" w:eastAsia="zh-CN"/>
        </w:rPr>
        <w:t>3</w:t>
      </w:r>
      <w:r>
        <w:rPr>
          <w:rFonts w:ascii="Times New Roman" w:hAnsi="Times New Roman" w:eastAsia="黑体" w:cs="Times New Roman"/>
          <w:color w:val="auto"/>
          <w:sz w:val="24"/>
          <w:szCs w:val="24"/>
          <w:highlight w:val="none"/>
        </w:rPr>
        <w:t xml:space="preserve">  企业生产工艺与环境风险控制水平</w:t>
      </w:r>
    </w:p>
    <w:tbl>
      <w:tblPr>
        <w:tblStyle w:val="21"/>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1"/>
        <w:gridCol w:w="42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00" w:type="pct"/>
            <w:noWrap w:val="0"/>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工艺与环境风险控制水平值（M）</w:t>
            </w:r>
          </w:p>
        </w:tc>
        <w:tc>
          <w:tcPr>
            <w:tcW w:w="2500" w:type="pct"/>
            <w:noWrap w:val="0"/>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工艺过程与环境风险控制水平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00" w:type="pct"/>
            <w:noWrap w:val="0"/>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M&lt;25</w:t>
            </w:r>
          </w:p>
        </w:tc>
        <w:tc>
          <w:tcPr>
            <w:tcW w:w="2500" w:type="pct"/>
            <w:noWrap w:val="0"/>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M1类水平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00" w:type="pct"/>
            <w:noWrap w:val="0"/>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25≤M&lt;45</w:t>
            </w:r>
          </w:p>
        </w:tc>
        <w:tc>
          <w:tcPr>
            <w:tcW w:w="2500" w:type="pct"/>
            <w:noWrap w:val="0"/>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M2类水平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00" w:type="pct"/>
            <w:noWrap w:val="0"/>
            <w:vAlign w:val="center"/>
          </w:tcPr>
          <w:p>
            <w:pPr>
              <w:adjustRightInd w:val="0"/>
              <w:snapToGrid w:val="0"/>
              <w:jc w:val="center"/>
              <w:rPr>
                <w:rFonts w:hint="eastAsia" w:ascii="Times New Roman" w:hAnsi="Times New Roman" w:cs="Times New Roman"/>
                <w:color w:val="auto"/>
                <w:szCs w:val="21"/>
                <w:highlight w:val="none"/>
              </w:rPr>
            </w:pPr>
            <w:r>
              <w:rPr>
                <w:rFonts w:ascii="Times New Roman" w:hAnsi="Times New Roman" w:cs="Times New Roman"/>
                <w:color w:val="auto"/>
                <w:szCs w:val="21"/>
                <w:highlight w:val="none"/>
              </w:rPr>
              <w:t>45≤M&lt;6</w:t>
            </w:r>
            <w:r>
              <w:rPr>
                <w:rFonts w:hint="eastAsia" w:ascii="Times New Roman" w:hAnsi="Times New Roman" w:cs="Times New Roman"/>
                <w:color w:val="auto"/>
                <w:szCs w:val="21"/>
                <w:highlight w:val="none"/>
              </w:rPr>
              <w:t>5</w:t>
            </w:r>
          </w:p>
        </w:tc>
        <w:tc>
          <w:tcPr>
            <w:tcW w:w="2500" w:type="pct"/>
            <w:noWrap w:val="0"/>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M3类水平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2500" w:type="pct"/>
            <w:noWrap w:val="0"/>
            <w:vAlign w:val="center"/>
          </w:tcPr>
          <w:p>
            <w:pPr>
              <w:adjustRightInd w:val="0"/>
              <w:snapToGrid w:val="0"/>
              <w:jc w:val="center"/>
              <w:rPr>
                <w:rFonts w:hint="eastAsia" w:ascii="Times New Roman" w:hAnsi="Times New Roman" w:cs="Times New Roman"/>
                <w:color w:val="auto"/>
                <w:szCs w:val="21"/>
                <w:highlight w:val="none"/>
              </w:rPr>
            </w:pPr>
            <w:r>
              <w:rPr>
                <w:rFonts w:ascii="Times New Roman" w:hAnsi="Times New Roman" w:cs="Times New Roman"/>
                <w:color w:val="auto"/>
                <w:szCs w:val="21"/>
                <w:highlight w:val="none"/>
              </w:rPr>
              <w:t>M≥6</w:t>
            </w:r>
            <w:r>
              <w:rPr>
                <w:rFonts w:hint="eastAsia" w:ascii="Times New Roman" w:hAnsi="Times New Roman" w:cs="Times New Roman"/>
                <w:color w:val="auto"/>
                <w:szCs w:val="21"/>
                <w:highlight w:val="none"/>
              </w:rPr>
              <w:t>5</w:t>
            </w:r>
          </w:p>
        </w:tc>
        <w:tc>
          <w:tcPr>
            <w:tcW w:w="2500" w:type="pct"/>
            <w:noWrap w:val="0"/>
            <w:vAlign w:val="center"/>
          </w:tcPr>
          <w:p>
            <w:pPr>
              <w:adjustRightInd w:val="0"/>
              <w:snapToGrid w:val="0"/>
              <w:jc w:val="center"/>
              <w:rPr>
                <w:rFonts w:ascii="Times New Roman" w:hAnsi="Times New Roman" w:cs="Times New Roman"/>
                <w:color w:val="auto"/>
                <w:szCs w:val="21"/>
                <w:highlight w:val="none"/>
              </w:rPr>
            </w:pPr>
            <w:r>
              <w:rPr>
                <w:rFonts w:ascii="Times New Roman" w:hAnsi="Times New Roman" w:cs="Times New Roman"/>
                <w:color w:val="auto"/>
                <w:szCs w:val="21"/>
                <w:highlight w:val="none"/>
              </w:rPr>
              <w:t>M4类水平</w:t>
            </w:r>
          </w:p>
        </w:tc>
      </w:tr>
    </w:tbl>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对照表8.2.1-1~8.2.1-3，可以得出</w:t>
      </w:r>
      <w:r>
        <w:rPr>
          <w:rFonts w:hint="eastAsia" w:ascii="Times New Roman" w:hAnsi="Times New Roman" w:cs="Times New Roman"/>
          <w:color w:val="auto"/>
          <w:sz w:val="24"/>
          <w:lang w:val="en-US" w:eastAsia="zh-CN"/>
        </w:rPr>
        <w:t>中国石油天然气股份有限公司呼和浩特石化分公司</w:t>
      </w:r>
      <w:r>
        <w:rPr>
          <w:rFonts w:hint="eastAsia" w:ascii="Times New Roman" w:hAnsi="Times New Roman" w:eastAsia="宋体" w:cs="Times New Roman"/>
          <w:color w:val="auto"/>
          <w:sz w:val="24"/>
          <w:lang w:val="en-US" w:eastAsia="zh-CN"/>
        </w:rPr>
        <w:t>大气环境风险及其控制水平M=</w:t>
      </w:r>
      <w:r>
        <w:rPr>
          <w:rFonts w:hint="eastAsia" w:ascii="Times New Roman" w:hAnsi="Times New Roman" w:cs="Times New Roman"/>
          <w:color w:val="auto"/>
          <w:sz w:val="24"/>
          <w:lang w:val="en-US" w:eastAsia="zh-CN"/>
        </w:rPr>
        <w:t>55</w:t>
      </w:r>
      <w:r>
        <w:rPr>
          <w:rFonts w:hint="eastAsia" w:ascii="Times New Roman" w:hAnsi="Times New Roman" w:eastAsia="宋体" w:cs="Times New Roman"/>
          <w:color w:val="auto"/>
          <w:sz w:val="24"/>
          <w:lang w:val="en-US" w:eastAsia="zh-CN"/>
        </w:rPr>
        <w:t>，为M</w:t>
      </w:r>
      <w:r>
        <w:rPr>
          <w:rFonts w:hint="eastAsia" w:ascii="Times New Roman" w:hAnsi="Times New Roman" w:cs="Times New Roman"/>
          <w:color w:val="auto"/>
          <w:sz w:val="24"/>
          <w:lang w:val="en-US" w:eastAsia="zh-CN"/>
        </w:rPr>
        <w:t>3</w:t>
      </w:r>
      <w:r>
        <w:rPr>
          <w:rFonts w:hint="eastAsia" w:ascii="Times New Roman" w:hAnsi="Times New Roman" w:eastAsia="宋体" w:cs="Times New Roman"/>
          <w:color w:val="auto"/>
          <w:sz w:val="24"/>
          <w:lang w:val="en-US" w:eastAsia="zh-CN"/>
        </w:rPr>
        <w:t>类水平。</w:t>
      </w:r>
    </w:p>
    <w:p>
      <w:pPr>
        <w:pStyle w:val="6"/>
        <w:bidi w:val="0"/>
        <w:rPr>
          <w:rFonts w:hint="eastAsia"/>
          <w:lang w:val="en-US" w:eastAsia="zh-CN"/>
        </w:rPr>
      </w:pPr>
      <w:r>
        <w:rPr>
          <w:rFonts w:hint="eastAsia"/>
          <w:lang w:val="en-US" w:eastAsia="zh-CN"/>
        </w:rPr>
        <w:t>8.2.1.4大气环境风险受体敏感程度（E）评估</w:t>
      </w:r>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大气环境风险受体敏感程度类型按照企业周边人口数进行划分。按照企业周边5公里或500米范围内人口数将大气环境风险受体敏感程度划分为类型1、类型2和类型3三种类型，分别以E1、E2和E3表示，见表8.2.1-4。</w:t>
      </w:r>
    </w:p>
    <w:p>
      <w:pPr>
        <w:pStyle w:val="7"/>
        <w:pageBreakBefore w:val="0"/>
        <w:wordWrap/>
        <w:topLinePunct w:val="0"/>
        <w:bidi w:val="0"/>
        <w:spacing w:line="360" w:lineRule="auto"/>
        <w:ind w:left="0" w:leftChars="0" w:right="0" w:rightChars="0" w:firstLine="0" w:firstLineChars="0"/>
        <w:jc w:val="center"/>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表8.2.1-4  大气环境风险受体敏感程度类型划分</w:t>
      </w:r>
    </w:p>
    <w:tbl>
      <w:tblPr>
        <w:tblStyle w:val="21"/>
        <w:tblW w:w="4999"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Layout w:type="autofit"/>
        <w:tblCellMar>
          <w:top w:w="0" w:type="dxa"/>
          <w:left w:w="0" w:type="dxa"/>
          <w:bottom w:w="0" w:type="dxa"/>
          <w:right w:w="0" w:type="dxa"/>
        </w:tblCellMar>
      </w:tblPr>
      <w:tblGrid>
        <w:gridCol w:w="1015"/>
        <w:gridCol w:w="7289"/>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PrEx>
        <w:trPr>
          <w:trHeight w:val="340" w:hRule="atLeast"/>
          <w:jc w:val="center"/>
        </w:trPr>
        <w:tc>
          <w:tcPr>
            <w:tcW w:w="6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敏感程度类型</w:t>
            </w:r>
          </w:p>
        </w:tc>
        <w:tc>
          <w:tcPr>
            <w:tcW w:w="438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大气环境风险受体</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951" w:hRule="atLeast"/>
          <w:jc w:val="center"/>
        </w:trPr>
        <w:tc>
          <w:tcPr>
            <w:tcW w:w="6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类型1</w:t>
            </w:r>
          </w:p>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（E1）</w:t>
            </w:r>
          </w:p>
        </w:tc>
        <w:tc>
          <w:tcPr>
            <w:tcW w:w="438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left"/>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企业周边5公里范围内居住区、医疗卫生机构、文化教育机构、科研单位、行政机关、企事业单位、商场、公园等人口总数5万人以上，或企业周边500米范围内人口总数1000人以上，或企业周边5公里涉及军事禁区、军事管理区、国家相关保密区域</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1219" w:hRule="atLeast"/>
          <w:jc w:val="center"/>
        </w:trPr>
        <w:tc>
          <w:tcPr>
            <w:tcW w:w="6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类型2</w:t>
            </w:r>
          </w:p>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（E2）</w:t>
            </w:r>
          </w:p>
        </w:tc>
        <w:tc>
          <w:tcPr>
            <w:tcW w:w="438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left"/>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企业周边5公里范围内居住区、医疗卫生机构、文化教育机构、科研单位、行政机关、企事业单位、商场、公园等人口总数1万人以上、5万人以下，或企业周边500米范围内人口总数500人以上、1000人以下</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953" w:hRule="atLeast"/>
          <w:jc w:val="center"/>
        </w:trPr>
        <w:tc>
          <w:tcPr>
            <w:tcW w:w="6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类型3</w:t>
            </w:r>
          </w:p>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w:t>
            </w:r>
            <w:r>
              <w:rPr>
                <w:rFonts w:hint="eastAsia" w:cs="Times New Roman"/>
                <w:color w:val="auto"/>
                <w:sz w:val="21"/>
                <w:szCs w:val="21"/>
                <w:highlight w:val="none"/>
                <w:lang w:val="en-US" w:eastAsia="zh-CN"/>
              </w:rPr>
              <w:t>E3</w:t>
            </w:r>
            <w:r>
              <w:rPr>
                <w:rFonts w:hint="eastAsia" w:ascii="Times New Roman" w:hAnsi="Times New Roman" w:eastAsia="宋体" w:cs="Times New Roman"/>
                <w:color w:val="auto"/>
                <w:sz w:val="21"/>
                <w:szCs w:val="21"/>
                <w:highlight w:val="none"/>
                <w:lang w:val="en-US" w:eastAsia="en-US"/>
              </w:rPr>
              <w:t>）</w:t>
            </w:r>
          </w:p>
        </w:tc>
        <w:tc>
          <w:tcPr>
            <w:tcW w:w="438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left"/>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企业周边5公里范围内居住区、医疗卫生机构、文化教育机构、科研单位、行政机关、企事业单位、商场、公园等人口总数1万人以下，且企业周边500米范围内人口总数500人以下</w:t>
            </w:r>
          </w:p>
        </w:tc>
      </w:tr>
    </w:tbl>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大气环境风险受体敏感程度按类型1、类型2和类型3顺序依次降低。若企业周边存在多种敏感程度类型的大气环境风险受体，则按敏感程度高者确定企业大气环境风险受体敏感程度类型。</w:t>
      </w:r>
    </w:p>
    <w:p>
      <w:pPr>
        <w:spacing w:line="500" w:lineRule="exact"/>
        <w:ind w:firstLine="480" w:firstLineChars="200"/>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厂区周边5km范围内</w:t>
      </w:r>
      <w:r>
        <w:rPr>
          <w:rFonts w:hint="eastAsia" w:ascii="Times New Roman" w:hAnsi="Times New Roman" w:eastAsia="宋体" w:cs="Times New Roman"/>
          <w:color w:val="auto"/>
          <w:sz w:val="24"/>
          <w:lang w:val="en-US" w:eastAsia="zh-CN"/>
        </w:rPr>
        <w:t>企业周围</w:t>
      </w:r>
      <w:r>
        <w:rPr>
          <w:rFonts w:hint="default" w:ascii="Times New Roman" w:hAnsi="Times New Roman" w:eastAsia="宋体" w:cs="Times New Roman"/>
          <w:color w:val="auto"/>
          <w:sz w:val="24"/>
          <w:lang w:val="en-US" w:eastAsia="zh-CN"/>
        </w:rPr>
        <w:t>人口总数5万人以</w:t>
      </w:r>
      <w:r>
        <w:rPr>
          <w:rFonts w:hint="eastAsia" w:ascii="Times New Roman" w:hAnsi="Times New Roman" w:eastAsia="宋体" w:cs="Times New Roman"/>
          <w:color w:val="auto"/>
          <w:sz w:val="24"/>
          <w:lang w:val="en-US" w:eastAsia="zh-CN"/>
        </w:rPr>
        <w:t>上</w:t>
      </w:r>
      <w:r>
        <w:rPr>
          <w:rFonts w:hint="default" w:ascii="Times New Roman" w:hAnsi="Times New Roman" w:eastAsia="宋体" w:cs="Times New Roman"/>
          <w:color w:val="auto"/>
          <w:sz w:val="24"/>
          <w:lang w:val="en-US" w:eastAsia="zh-CN"/>
        </w:rPr>
        <w:t>。</w:t>
      </w:r>
      <w:r>
        <w:rPr>
          <w:rFonts w:hint="eastAsia" w:ascii="Times New Roman" w:hAnsi="Times New Roman" w:eastAsia="宋体" w:cs="Times New Roman"/>
          <w:color w:val="auto"/>
          <w:sz w:val="24"/>
          <w:lang w:val="en-US" w:eastAsia="zh-CN"/>
        </w:rPr>
        <w:t>项目周边的大气环境风险受体敏感程度为类型1，以E1表示。</w:t>
      </w:r>
    </w:p>
    <w:p>
      <w:pPr>
        <w:pStyle w:val="5"/>
        <w:bidi w:val="0"/>
        <w:rPr>
          <w:rFonts w:hint="eastAsia"/>
          <w:lang w:val="en-US" w:eastAsia="zh-CN"/>
        </w:rPr>
      </w:pPr>
      <w:bookmarkStart w:id="460" w:name="_Toc29981"/>
      <w:r>
        <w:rPr>
          <w:rFonts w:hint="eastAsia"/>
          <w:lang w:val="en-US" w:eastAsia="zh-CN"/>
        </w:rPr>
        <w:t>8.2.2突发大气环境事件风险等级确定</w:t>
      </w:r>
      <w:bookmarkEnd w:id="460"/>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根据企业周边大气环境风险受体敏感程度（E）、涉气风险物质数量与临界量比值（Q）和生产工艺过程与大气环境风险控制水平（M）按照表8.2-5确定企业突发大气环境事件风险等级。</w:t>
      </w:r>
    </w:p>
    <w:p>
      <w:pPr>
        <w:pStyle w:val="7"/>
        <w:pageBreakBefore w:val="0"/>
        <w:wordWrap/>
        <w:topLinePunct w:val="0"/>
        <w:bidi w:val="0"/>
        <w:spacing w:line="360" w:lineRule="auto"/>
        <w:ind w:left="0" w:leftChars="0" w:right="0" w:rightChars="0" w:firstLine="0" w:firstLineChars="0"/>
        <w:jc w:val="center"/>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表8.2-5 企业突发环境事件风险分级矩阵表</w:t>
      </w:r>
    </w:p>
    <w:tbl>
      <w:tblPr>
        <w:tblStyle w:val="21"/>
        <w:tblW w:w="4998"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Layout w:type="autofit"/>
        <w:tblCellMar>
          <w:top w:w="0" w:type="dxa"/>
          <w:left w:w="0" w:type="dxa"/>
          <w:bottom w:w="0" w:type="dxa"/>
          <w:right w:w="0" w:type="dxa"/>
        </w:tblCellMar>
      </w:tblPr>
      <w:tblGrid>
        <w:gridCol w:w="1317"/>
        <w:gridCol w:w="1957"/>
        <w:gridCol w:w="1221"/>
        <w:gridCol w:w="1347"/>
        <w:gridCol w:w="1258"/>
        <w:gridCol w:w="1203"/>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9" w:hRule="atLeast"/>
          <w:jc w:val="center"/>
        </w:trPr>
        <w:tc>
          <w:tcPr>
            <w:tcW w:w="793" w:type="pct"/>
            <w:vMerge w:val="restar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环境风险受体敏感程度（E）</w:t>
            </w:r>
          </w:p>
        </w:tc>
        <w:tc>
          <w:tcPr>
            <w:tcW w:w="1178" w:type="pct"/>
            <w:vMerge w:val="restar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风险物质数量与临界量比值（Q）</w:t>
            </w:r>
          </w:p>
        </w:tc>
        <w:tc>
          <w:tcPr>
            <w:tcW w:w="3027" w:type="pct"/>
            <w:gridSpan w:val="4"/>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生产工艺过程与环境风险控制水平（M）</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793" w:type="pct"/>
            <w:vMerge w:val="continue"/>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178" w:type="pct"/>
            <w:vMerge w:val="continue"/>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cs="Times New Roman"/>
                <w:color w:val="auto"/>
                <w:sz w:val="21"/>
                <w:szCs w:val="21"/>
                <w:highlight w:val="none"/>
                <w:lang w:val="en-US" w:eastAsia="zh-CN"/>
              </w:rPr>
              <w:t>M1</w:t>
            </w:r>
            <w:r>
              <w:rPr>
                <w:rFonts w:hint="eastAsia" w:ascii="Times New Roman" w:hAnsi="Times New Roman" w:eastAsia="宋体" w:cs="Times New Roman"/>
                <w:color w:val="auto"/>
                <w:sz w:val="21"/>
                <w:szCs w:val="21"/>
                <w:highlight w:val="none"/>
                <w:lang w:val="en-US" w:eastAsia="en-US"/>
              </w:rPr>
              <w:t xml:space="preserve"> 类水平</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M2 类水平</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M3 类水平</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M4 类水平</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793" w:type="pct"/>
            <w:vMerge w:val="restar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类型1</w:t>
            </w:r>
          </w:p>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（E1）</w:t>
            </w:r>
          </w:p>
        </w:tc>
        <w:tc>
          <w:tcPr>
            <w:tcW w:w="117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 Q＜10（Q1）</w:t>
            </w: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PrEx>
        <w:trPr>
          <w:trHeight w:val="368" w:hRule="atLeast"/>
          <w:jc w:val="center"/>
        </w:trPr>
        <w:tc>
          <w:tcPr>
            <w:tcW w:w="793" w:type="pct"/>
            <w:vMerge w:val="continue"/>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17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10≤ Q＜100（Q2）</w:t>
            </w: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9" w:hRule="atLeast"/>
          <w:jc w:val="center"/>
        </w:trPr>
        <w:tc>
          <w:tcPr>
            <w:tcW w:w="793" w:type="pct"/>
            <w:vMerge w:val="continue"/>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17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Q≥ 100（Q3）</w:t>
            </w: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FF0000"/>
                <w:sz w:val="21"/>
                <w:szCs w:val="21"/>
                <w:highlight w:val="none"/>
                <w:lang w:val="en-US" w:eastAsia="en-US"/>
              </w:rPr>
              <w:t>重大</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793" w:type="pct"/>
            <w:vMerge w:val="restar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类型2</w:t>
            </w:r>
          </w:p>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（E2）</w:t>
            </w:r>
          </w:p>
        </w:tc>
        <w:tc>
          <w:tcPr>
            <w:tcW w:w="117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 Q＜10（Q1）</w:t>
            </w: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一般</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793" w:type="pct"/>
            <w:vMerge w:val="continue"/>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17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10≤ Q＜100（Q2）</w:t>
            </w: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793" w:type="pct"/>
            <w:vMerge w:val="continue"/>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17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Q≥ 100（Q3）</w:t>
            </w: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3" w:hRule="atLeast"/>
          <w:jc w:val="center"/>
        </w:trPr>
        <w:tc>
          <w:tcPr>
            <w:tcW w:w="793" w:type="pct"/>
            <w:vMerge w:val="restar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类型3</w:t>
            </w:r>
          </w:p>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w:t>
            </w:r>
            <w:r>
              <w:rPr>
                <w:rFonts w:hint="eastAsia" w:cs="Times New Roman"/>
                <w:color w:val="auto"/>
                <w:sz w:val="21"/>
                <w:szCs w:val="21"/>
                <w:highlight w:val="none"/>
                <w:lang w:val="en-US" w:eastAsia="zh-CN"/>
              </w:rPr>
              <w:t>E3</w:t>
            </w:r>
            <w:r>
              <w:rPr>
                <w:rFonts w:hint="eastAsia" w:ascii="Times New Roman" w:hAnsi="Times New Roman" w:eastAsia="宋体" w:cs="Times New Roman"/>
                <w:color w:val="auto"/>
                <w:sz w:val="21"/>
                <w:szCs w:val="21"/>
                <w:highlight w:val="none"/>
                <w:lang w:val="en-US" w:eastAsia="en-US"/>
              </w:rPr>
              <w:t>）</w:t>
            </w:r>
          </w:p>
        </w:tc>
        <w:tc>
          <w:tcPr>
            <w:tcW w:w="117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 Q＜10（Q1）</w:t>
            </w: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一般</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一般</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9" w:hRule="atLeast"/>
          <w:jc w:val="center"/>
        </w:trPr>
        <w:tc>
          <w:tcPr>
            <w:tcW w:w="793" w:type="pct"/>
            <w:vMerge w:val="continue"/>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17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10≤ Q＜100（Q2）</w:t>
            </w: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一般</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b/>
                <w:bCs/>
                <w:color w:val="auto"/>
                <w:sz w:val="21"/>
                <w:szCs w:val="21"/>
                <w:highlight w:val="none"/>
                <w:lang w:val="en-US" w:eastAsia="en-US"/>
              </w:rPr>
              <w:t>较大</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3" w:hRule="atLeast"/>
          <w:jc w:val="center"/>
        </w:trPr>
        <w:tc>
          <w:tcPr>
            <w:tcW w:w="793" w:type="pct"/>
            <w:vMerge w:val="continue"/>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178"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Q≥ 100（Q3）</w:t>
            </w:r>
          </w:p>
        </w:tc>
        <w:tc>
          <w:tcPr>
            <w:tcW w:w="735"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811"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57"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23" w:type="pct"/>
            <w:tcBorders>
              <w:tl2br w:val="nil"/>
              <w:tr2bl w:val="nil"/>
            </w:tcBorders>
            <w:noWrap w:val="0"/>
            <w:vAlign w:val="center"/>
          </w:tcPr>
          <w:p>
            <w:pPr>
              <w:pageBreakBefore w:val="0"/>
              <w:wordWrap/>
              <w:topLinePunct w:val="0"/>
              <w:bidi w:val="0"/>
              <w:adjustRightInd w:val="0"/>
              <w:snapToGrid w:val="0"/>
              <w:spacing w:line="24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bl>
    <w:p>
      <w:pPr>
        <w:spacing w:line="500" w:lineRule="exact"/>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中国石油天然气股份有限公司呼和浩特石化分公司</w:t>
      </w:r>
      <w:r>
        <w:rPr>
          <w:rFonts w:hint="eastAsia" w:ascii="Times New Roman" w:hAnsi="Times New Roman" w:eastAsia="宋体" w:cs="Times New Roman"/>
          <w:color w:val="auto"/>
          <w:sz w:val="24"/>
          <w:lang w:val="en-US" w:eastAsia="zh-CN"/>
        </w:rPr>
        <w:t>突发大气环境事件风险等级为“重大-大气（Q3-M</w:t>
      </w:r>
      <w:r>
        <w:rPr>
          <w:rFonts w:hint="eastAsia" w:ascii="Times New Roman" w:hAnsi="Times New Roman" w:cs="Times New Roman"/>
          <w:color w:val="auto"/>
          <w:sz w:val="24"/>
          <w:lang w:val="en-US" w:eastAsia="zh-CN"/>
        </w:rPr>
        <w:t>3</w:t>
      </w:r>
      <w:r>
        <w:rPr>
          <w:rFonts w:hint="eastAsia" w:ascii="Times New Roman" w:hAnsi="Times New Roman" w:eastAsia="宋体" w:cs="Times New Roman"/>
          <w:color w:val="auto"/>
          <w:sz w:val="24"/>
          <w:lang w:val="en-US" w:eastAsia="zh-CN"/>
        </w:rPr>
        <w:t>-E1）”。</w:t>
      </w:r>
    </w:p>
    <w:p>
      <w:pPr>
        <w:pStyle w:val="4"/>
        <w:bidi w:val="0"/>
        <w:rPr>
          <w:rFonts w:hint="default"/>
          <w:lang w:val="en-US" w:eastAsia="zh-CN"/>
        </w:rPr>
      </w:pPr>
      <w:bookmarkStart w:id="461" w:name="_Toc28177"/>
      <w:bookmarkStart w:id="462" w:name="_Toc5947"/>
      <w:bookmarkStart w:id="463" w:name="_Toc27593000"/>
      <w:bookmarkStart w:id="464" w:name="_Toc11080116"/>
      <w:bookmarkStart w:id="465" w:name="_Toc31775"/>
      <w:r>
        <w:rPr>
          <w:rFonts w:hint="eastAsia"/>
          <w:lang w:val="en-US" w:eastAsia="zh-CN"/>
        </w:rPr>
        <w:t>8.3</w:t>
      </w:r>
      <w:r>
        <w:rPr>
          <w:rFonts w:hint="default"/>
          <w:lang w:val="en-US" w:eastAsia="zh-CN"/>
        </w:rPr>
        <w:t>突发水环境事件风险等级</w:t>
      </w:r>
      <w:bookmarkEnd w:id="461"/>
      <w:bookmarkEnd w:id="462"/>
      <w:bookmarkEnd w:id="463"/>
      <w:bookmarkEnd w:id="464"/>
      <w:bookmarkEnd w:id="465"/>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水风险物质包括附录A中的第三、第四、第五、第六、第七和第八部分全部风险物质，以及第一、第二部分中溶于水和遇水发生反应的风险物质，具体包括：溶于水的硒化氢、甲醛、乙二腈、二氧化氯、氯化氢、氨、环氧乙烷、甲胺、丁烷、二甲胺、一氧化二氯，砷化氢、二氧化氮、三甲胺、二氧化硫、三氟化硼、硅烷、溴化氢、氯化氰、乙胺、二甲醚，以及遇水发生反应的乙烯酮、氟、四氟化硫、三氟溴乙烯。</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判断企业生产原料、产品、中间产品、副产品、催化剂、辅助生产物料、“三废”污染物等是否涉及水环境风险物质（混合或稀释的风险物质按其组分比例折算成纯物质），计算涉水风险物质（如存在量呈动态变化，则按年度内最大存在量计算）与其临界量的比值Q：</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当企业只涉及一种风险物质时，该物质的数量与其临界量比值，即为Q</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当企业存在多种风险物质时，则按式（1）计算：</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（2）当企业存在多种风险物质时，则按式①计算：</w:t>
      </w:r>
    </w:p>
    <w:p>
      <w:pPr>
        <w:pStyle w:val="24"/>
        <w:rPr>
          <w:rFonts w:hint="default"/>
          <w:lang w:val="en-US" w:eastAsia="zh-CN"/>
        </w:rPr>
      </w:pPr>
      <w:r>
        <w:rPr>
          <w:rFonts w:ascii="Times New Roman" w:hAnsi="Times New Roman"/>
          <w:color w:val="auto"/>
        </w:rPr>
        <w:drawing>
          <wp:anchor distT="0" distB="0" distL="114300" distR="114300" simplePos="0" relativeHeight="251660288" behindDoc="0" locked="0" layoutInCell="1" allowOverlap="1">
            <wp:simplePos x="0" y="0"/>
            <wp:positionH relativeFrom="column">
              <wp:posOffset>608965</wp:posOffset>
            </wp:positionH>
            <wp:positionV relativeFrom="paragraph">
              <wp:posOffset>61595</wp:posOffset>
            </wp:positionV>
            <wp:extent cx="3472815" cy="521970"/>
            <wp:effectExtent l="0" t="0" r="13335" b="11430"/>
            <wp:wrapNone/>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105"/>
                    <a:stretch>
                      <a:fillRect/>
                    </a:stretch>
                  </pic:blipFill>
                  <pic:spPr>
                    <a:xfrm>
                      <a:off x="0" y="0"/>
                      <a:ext cx="3472815" cy="521970"/>
                    </a:xfrm>
                    <a:prstGeom prst="rect">
                      <a:avLst/>
                    </a:prstGeom>
                    <a:noFill/>
                    <a:ln>
                      <a:noFill/>
                    </a:ln>
                  </pic:spPr>
                </pic:pic>
              </a:graphicData>
            </a:graphic>
          </wp:anchor>
        </w:drawing>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①</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式中：w1, w2, ..., wn——每种风险物质的存在量，t；</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W1, W2, ..., Wn——每种风险物质的临界量，t。</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按照数值大小，将Q划分为4个水平：</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（1）Q＜1，以Q0表示，企业直接评为一般环境风险等级；</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（2）1≤Q＜10，以Q1表示；</w:t>
      </w:r>
    </w:p>
    <w:p>
      <w:pPr>
        <w:spacing w:line="500" w:lineRule="exact"/>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（3）10≤Q＜100，以Q2表示；</w:t>
      </w:r>
    </w:p>
    <w:p>
      <w:pPr>
        <w:numPr>
          <w:ilvl w:val="0"/>
          <w:numId w:val="7"/>
        </w:numPr>
        <w:spacing w:line="500" w:lineRule="exact"/>
        <w:ind w:left="0" w:leftChars="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Q≥100，以Q3表示。</w:t>
      </w:r>
    </w:p>
    <w:p>
      <w:pPr>
        <w:spacing w:line="500" w:lineRule="exact"/>
        <w:ind w:left="0" w:firstLine="0" w:firstLineChars="0"/>
        <w:jc w:val="center"/>
        <w:rPr>
          <w:rFonts w:hint="eastAsia" w:ascii="Times New Roman" w:hAnsi="Times New Roman" w:eastAsia="宋体" w:cs="Times New Roman"/>
          <w:b/>
          <w:color w:val="auto"/>
          <w:kern w:val="44"/>
          <w:sz w:val="24"/>
          <w:lang w:val="en-US" w:eastAsia="zh-CN"/>
        </w:rPr>
      </w:pPr>
      <w:r>
        <w:rPr>
          <w:rFonts w:hint="eastAsia" w:ascii="Times New Roman" w:hAnsi="Times New Roman" w:eastAsia="宋体" w:cs="Times New Roman"/>
          <w:b/>
          <w:color w:val="auto"/>
          <w:kern w:val="44"/>
          <w:sz w:val="24"/>
          <w:lang w:val="en-US" w:eastAsia="zh-CN"/>
        </w:rPr>
        <w:t>表8.</w:t>
      </w:r>
      <w:r>
        <w:rPr>
          <w:rFonts w:hint="eastAsia" w:ascii="Times New Roman" w:hAnsi="Times New Roman" w:cs="Times New Roman"/>
          <w:b/>
          <w:color w:val="auto"/>
          <w:kern w:val="44"/>
          <w:sz w:val="24"/>
          <w:lang w:val="en-US" w:eastAsia="zh-CN"/>
        </w:rPr>
        <w:t>3</w:t>
      </w:r>
      <w:r>
        <w:rPr>
          <w:rFonts w:hint="eastAsia" w:ascii="Times New Roman" w:hAnsi="Times New Roman" w:eastAsia="宋体" w:cs="Times New Roman"/>
          <w:b/>
          <w:color w:val="auto"/>
          <w:kern w:val="44"/>
          <w:sz w:val="24"/>
          <w:lang w:val="en-US" w:eastAsia="zh-CN"/>
        </w:rPr>
        <w:t>-1 项目</w:t>
      </w:r>
      <w:r>
        <w:rPr>
          <w:rFonts w:hint="eastAsia" w:ascii="Times New Roman" w:hAnsi="Times New Roman" w:cs="Times New Roman"/>
          <w:b/>
          <w:color w:val="auto"/>
          <w:kern w:val="44"/>
          <w:sz w:val="24"/>
          <w:lang w:val="en-US" w:eastAsia="zh-CN"/>
        </w:rPr>
        <w:t>环境风险物质</w:t>
      </w:r>
      <w:r>
        <w:rPr>
          <w:rFonts w:hint="eastAsia" w:ascii="Times New Roman" w:hAnsi="Times New Roman" w:eastAsia="宋体" w:cs="Times New Roman"/>
          <w:b/>
          <w:color w:val="auto"/>
          <w:kern w:val="44"/>
          <w:sz w:val="24"/>
          <w:lang w:val="en-US" w:eastAsia="zh-CN"/>
        </w:rPr>
        <w:t>表</w:t>
      </w:r>
    </w:p>
    <w:tbl>
      <w:tblPr>
        <w:tblStyle w:val="21"/>
        <w:tblW w:w="4997" w:type="pct"/>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Layout w:type="autofit"/>
        <w:tblCellMar>
          <w:top w:w="0" w:type="dxa"/>
          <w:left w:w="108" w:type="dxa"/>
          <w:bottom w:w="0" w:type="dxa"/>
          <w:right w:w="108" w:type="dxa"/>
        </w:tblCellMar>
      </w:tblPr>
      <w:tblGrid>
        <w:gridCol w:w="1298"/>
        <w:gridCol w:w="1299"/>
        <w:gridCol w:w="2023"/>
        <w:gridCol w:w="1299"/>
        <w:gridCol w:w="1299"/>
        <w:gridCol w:w="1299"/>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95"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序号</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环境风险物质</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类别</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存储数量</w:t>
            </w:r>
            <w:r>
              <w:rPr>
                <w:rStyle w:val="44"/>
                <w:rFonts w:eastAsia="宋体"/>
                <w:lang w:val="en-US" w:eastAsia="zh-CN" w:bidi="ar"/>
              </w:rPr>
              <w:t>/</w:t>
            </w:r>
            <w:r>
              <w:rPr>
                <w:rStyle w:val="45"/>
                <w:lang w:val="en-US" w:eastAsia="zh-CN" w:bidi="ar"/>
              </w:rPr>
              <w:t>质量（</w:t>
            </w:r>
            <w:r>
              <w:rPr>
                <w:rStyle w:val="44"/>
                <w:rFonts w:eastAsia="宋体"/>
                <w:lang w:val="en-US" w:eastAsia="zh-CN" w:bidi="ar"/>
              </w:rPr>
              <w:t>t</w:t>
            </w:r>
            <w:r>
              <w:rPr>
                <w:rStyle w:val="45"/>
                <w:lang w:val="en-US" w:eastAsia="zh-CN" w:bidi="ar"/>
              </w:rPr>
              <w:t>）</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临界量（</w:t>
            </w:r>
            <w:r>
              <w:rPr>
                <w:rStyle w:val="44"/>
                <w:rFonts w:eastAsia="宋体"/>
                <w:lang w:val="en-US" w:eastAsia="zh-CN" w:bidi="ar"/>
              </w:rPr>
              <w:t>t</w:t>
            </w:r>
            <w:r>
              <w:rPr>
                <w:rStyle w:val="45"/>
                <w:lang w:val="en-US" w:eastAsia="zh-CN" w:bidi="ar"/>
              </w:rPr>
              <w:t>）</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Q</w:t>
            </w:r>
            <w:r>
              <w:rPr>
                <w:rStyle w:val="45"/>
                <w:lang w:val="en-US" w:eastAsia="zh-CN" w:bidi="ar"/>
              </w:rPr>
              <w:t>值</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苯</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1720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172</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甲醇</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第四部分</w:t>
            </w:r>
            <w:r>
              <w:rPr>
                <w:rStyle w:val="44"/>
                <w:rFonts w:eastAsia="宋体"/>
                <w:lang w:val="en-US" w:eastAsia="zh-CN" w:bidi="ar"/>
              </w:rPr>
              <w:t xml:space="preserve"> </w:t>
            </w:r>
            <w:r>
              <w:rPr>
                <w:rStyle w:val="45"/>
                <w:lang w:val="en-US" w:eastAsia="zh-CN" w:bidi="ar"/>
              </w:rPr>
              <w:t>易燃液态物质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1373.406</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137.3</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甲基叔丁基醚</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第四部分</w:t>
            </w:r>
            <w:r>
              <w:rPr>
                <w:rStyle w:val="44"/>
                <w:rFonts w:eastAsia="宋体"/>
                <w:lang w:val="en-US" w:eastAsia="zh-CN" w:bidi="ar"/>
              </w:rPr>
              <w:t xml:space="preserve"> </w:t>
            </w:r>
            <w:r>
              <w:rPr>
                <w:rStyle w:val="45"/>
                <w:lang w:val="en-US" w:eastAsia="zh-CN" w:bidi="ar"/>
              </w:rPr>
              <w:t>易燃液态物质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695.1025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69.5</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油类物质</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第八部分</w:t>
            </w:r>
            <w:r>
              <w:rPr>
                <w:rStyle w:val="44"/>
                <w:rFonts w:eastAsia="宋体"/>
                <w:lang w:val="en-US" w:eastAsia="zh-CN" w:bidi="ar"/>
              </w:rPr>
              <w:t xml:space="preserve"> </w:t>
            </w:r>
            <w:r>
              <w:rPr>
                <w:rStyle w:val="45"/>
                <w:lang w:val="en-US" w:eastAsia="zh-CN" w:bidi="ar"/>
              </w:rPr>
              <w:t>其他类物质及污染物</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585339.36</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2500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234.1</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次氯酸钠</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第五部分</w:t>
            </w:r>
            <w:r>
              <w:rPr>
                <w:rStyle w:val="44"/>
                <w:rFonts w:eastAsia="宋体"/>
                <w:lang w:val="en-US" w:eastAsia="zh-CN" w:bidi="ar"/>
              </w:rPr>
              <w:t xml:space="preserve"> </w:t>
            </w:r>
            <w:r>
              <w:rPr>
                <w:rStyle w:val="45"/>
                <w:lang w:val="en-US" w:eastAsia="zh-CN" w:bidi="ar"/>
              </w:rPr>
              <w:t>其他有毒物质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4</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6</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硫酸</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0.8</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氯酸钠</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第五部分</w:t>
            </w:r>
            <w:r>
              <w:rPr>
                <w:rStyle w:val="44"/>
                <w:rFonts w:eastAsia="宋体"/>
                <w:lang w:val="en-US" w:eastAsia="zh-CN" w:bidi="ar"/>
              </w:rPr>
              <w:t xml:space="preserve"> </w:t>
            </w:r>
            <w:r>
              <w:rPr>
                <w:rStyle w:val="45"/>
                <w:lang w:val="en-US" w:eastAsia="zh-CN" w:bidi="ar"/>
              </w:rPr>
              <w:t>其他有毒物质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0.01</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8</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盐酸</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0.067</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9</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四氯乙烯</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0.15</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四氯化钛</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0.08</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0.08</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11</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硫</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第五部分</w:t>
            </w:r>
            <w:r>
              <w:rPr>
                <w:rStyle w:val="44"/>
                <w:rFonts w:eastAsia="宋体"/>
                <w:lang w:val="en-US" w:eastAsia="zh-CN" w:bidi="ar"/>
              </w:rPr>
              <w:t xml:space="preserve"> </w:t>
            </w:r>
            <w:r>
              <w:rPr>
                <w:rStyle w:val="45"/>
                <w:lang w:val="en-US" w:eastAsia="zh-CN" w:bidi="ar"/>
              </w:rPr>
              <w:t>其他有毒物质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90.0005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9</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12</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异丙醇</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第四部分</w:t>
            </w:r>
            <w:r>
              <w:rPr>
                <w:rStyle w:val="44"/>
                <w:rFonts w:eastAsia="宋体"/>
                <w:lang w:val="en-US" w:eastAsia="zh-CN" w:bidi="ar"/>
              </w:rPr>
              <w:t xml:space="preserve"> </w:t>
            </w:r>
            <w:r>
              <w:rPr>
                <w:rStyle w:val="45"/>
                <w:lang w:val="en-US" w:eastAsia="zh-CN" w:bidi="ar"/>
              </w:rPr>
              <w:t>易燃液态物质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0.013</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0.013</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13</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乙醇</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第四部分</w:t>
            </w:r>
            <w:r>
              <w:rPr>
                <w:rStyle w:val="44"/>
                <w:rFonts w:eastAsia="宋体"/>
                <w:lang w:val="en-US" w:eastAsia="zh-CN" w:bidi="ar"/>
              </w:rPr>
              <w:t xml:space="preserve"> </w:t>
            </w:r>
            <w:r>
              <w:rPr>
                <w:rStyle w:val="45"/>
                <w:lang w:val="en-US" w:eastAsia="zh-CN" w:bidi="ar"/>
              </w:rPr>
              <w:t>易燃液态物质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0.0035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500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14</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乙醚</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第四部分</w:t>
            </w:r>
            <w:r>
              <w:rPr>
                <w:rStyle w:val="44"/>
                <w:rFonts w:eastAsia="宋体"/>
                <w:lang w:val="en-US" w:eastAsia="zh-CN" w:bidi="ar"/>
              </w:rPr>
              <w:t xml:space="preserve"> </w:t>
            </w:r>
            <w:r>
              <w:rPr>
                <w:rStyle w:val="45"/>
                <w:lang w:val="en-US" w:eastAsia="zh-CN" w:bidi="ar"/>
              </w:rPr>
              <w:t>易燃液态物质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0.0005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石油醚</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第四部分</w:t>
            </w:r>
            <w:r>
              <w:rPr>
                <w:rStyle w:val="44"/>
                <w:rFonts w:eastAsia="宋体"/>
                <w:lang w:val="en-US" w:eastAsia="zh-CN" w:bidi="ar"/>
              </w:rPr>
              <w:t xml:space="preserve"> </w:t>
            </w:r>
            <w:r>
              <w:rPr>
                <w:rStyle w:val="45"/>
                <w:lang w:val="en-US" w:eastAsia="zh-CN" w:bidi="ar"/>
              </w:rPr>
              <w:t>易燃液态物质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0.002</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16</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硫酸镉</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第五部分</w:t>
            </w:r>
            <w:r>
              <w:rPr>
                <w:rStyle w:val="44"/>
                <w:rFonts w:eastAsia="宋体"/>
                <w:lang w:val="en-US" w:eastAsia="zh-CN" w:bidi="ar"/>
              </w:rPr>
              <w:t xml:space="preserve"> </w:t>
            </w:r>
            <w:r>
              <w:rPr>
                <w:rStyle w:val="45"/>
                <w:lang w:val="en-US" w:eastAsia="zh-CN" w:bidi="ar"/>
              </w:rPr>
              <w:t>其他有毒物质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0.0015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0.25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17</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硫酸</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0.0035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18</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盐酸</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0.0045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19</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硝酸</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0.0025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氢氟酸</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0.0005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21</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甲酸</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第四部分</w:t>
            </w:r>
            <w:r>
              <w:rPr>
                <w:rStyle w:val="44"/>
                <w:rFonts w:eastAsia="宋体"/>
                <w:lang w:val="en-US" w:eastAsia="zh-CN" w:bidi="ar"/>
              </w:rPr>
              <w:t xml:space="preserve"> </w:t>
            </w:r>
            <w:r>
              <w:rPr>
                <w:rStyle w:val="45"/>
                <w:lang w:val="en-US" w:eastAsia="zh-CN" w:bidi="ar"/>
              </w:rPr>
              <w:t>易燃液态物质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0.001</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22</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丙酮</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0.006</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23</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甲苯</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0.0025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24</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四氯化碳</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0.003</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丁酮</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第四部分</w:t>
            </w:r>
            <w:r>
              <w:rPr>
                <w:rStyle w:val="44"/>
                <w:rFonts w:eastAsia="宋体"/>
                <w:lang w:val="en-US" w:eastAsia="zh-CN" w:bidi="ar"/>
              </w:rPr>
              <w:t xml:space="preserve"> </w:t>
            </w:r>
            <w:r>
              <w:rPr>
                <w:rStyle w:val="45"/>
                <w:lang w:val="en-US" w:eastAsia="zh-CN" w:bidi="ar"/>
              </w:rPr>
              <w:t>易燃液态物质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0.002</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26</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正己烷</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第四部分</w:t>
            </w:r>
            <w:r>
              <w:rPr>
                <w:rStyle w:val="44"/>
                <w:rFonts w:eastAsia="宋体"/>
                <w:lang w:val="en-US" w:eastAsia="zh-CN" w:bidi="ar"/>
              </w:rPr>
              <w:t xml:space="preserve"> </w:t>
            </w:r>
            <w:r>
              <w:rPr>
                <w:rStyle w:val="45"/>
                <w:lang w:val="en-US" w:eastAsia="zh-CN" w:bidi="ar"/>
              </w:rPr>
              <w:t>易燃液态物质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0.002</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27</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环己烷</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0.0025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28</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三氯甲烷</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0.0005</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29</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二氯甲烷</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0.002</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80"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氨水</w:t>
            </w:r>
          </w:p>
        </w:tc>
        <w:tc>
          <w:tcPr>
            <w:tcW w:w="1187" w:type="pct"/>
            <w:tcBorders>
              <w:tl2br w:val="nil"/>
              <w:tr2bl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第三部分</w:t>
            </w:r>
            <w:r>
              <w:rPr>
                <w:rStyle w:val="44"/>
                <w:rFonts w:eastAsia="宋体"/>
                <w:lang w:val="en-US" w:eastAsia="zh-CN" w:bidi="ar"/>
              </w:rPr>
              <w:t xml:space="preserve"> </w:t>
            </w:r>
            <w:r>
              <w:rPr>
                <w:rStyle w:val="45"/>
                <w:lang w:val="en-US" w:eastAsia="zh-CN" w:bidi="ar"/>
              </w:rPr>
              <w:t>有毒液态物质</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0.002</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10</w:t>
            </w:r>
          </w:p>
        </w:tc>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5" w:hRule="atLeast"/>
        </w:trPr>
        <w:tc>
          <w:tcPr>
            <w:tcW w:w="762" w:type="pct"/>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31</w:t>
            </w:r>
          </w:p>
        </w:tc>
        <w:tc>
          <w:tcPr>
            <w:tcW w:w="762" w:type="pct"/>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18"/>
                <w:szCs w:val="18"/>
                <w:u w:val="none"/>
              </w:rPr>
            </w:pPr>
          </w:p>
        </w:tc>
        <w:tc>
          <w:tcPr>
            <w:tcW w:w="1187" w:type="pct"/>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18"/>
                <w:szCs w:val="18"/>
                <w:u w:val="none"/>
              </w:rPr>
            </w:pPr>
          </w:p>
        </w:tc>
        <w:tc>
          <w:tcPr>
            <w:tcW w:w="762" w:type="pct"/>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18"/>
                <w:szCs w:val="18"/>
                <w:u w:val="none"/>
              </w:rPr>
            </w:pPr>
          </w:p>
        </w:tc>
        <w:tc>
          <w:tcPr>
            <w:tcW w:w="762" w:type="pct"/>
            <w:tcBorders>
              <w:tl2br w:val="nil"/>
              <w:tr2bl w:val="nil"/>
            </w:tcBorders>
            <w:shd w:val="clear" w:color="auto" w:fill="auto"/>
            <w:vAlign w:val="center"/>
          </w:tcPr>
          <w:p>
            <w:pPr>
              <w:jc w:val="center"/>
              <w:rPr>
                <w:rFonts w:hint="default" w:ascii="Times New Roman" w:hAnsi="Times New Roman" w:eastAsia="宋体" w:cs="Times New Roman"/>
                <w:i w:val="0"/>
                <w:iCs w:val="0"/>
                <w:color w:val="000000"/>
                <w:sz w:val="18"/>
                <w:szCs w:val="18"/>
                <w:u w:val="none"/>
              </w:rPr>
            </w:pPr>
          </w:p>
        </w:tc>
        <w:tc>
          <w:tcPr>
            <w:tcW w:w="762" w:type="pct"/>
            <w:tcBorders>
              <w:tl2br w:val="nil"/>
              <w:tr2bl w:val="nil"/>
            </w:tcBorders>
            <w:shd w:val="clear" w:color="auto" w:fill="auto"/>
            <w:vAlign w:val="center"/>
          </w:tcPr>
          <w:p>
            <w:pPr>
              <w:keepNext w:val="0"/>
              <w:keepLines w:val="0"/>
              <w:widowControl/>
              <w:suppressLineNumbers w:val="0"/>
              <w:jc w:val="right"/>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623.82</w:t>
            </w:r>
          </w:p>
        </w:tc>
      </w:tr>
    </w:tbl>
    <w:p>
      <w:pPr>
        <w:spacing w:line="500" w:lineRule="exact"/>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cs="Times New Roman"/>
          <w:color w:val="auto"/>
          <w:sz w:val="24"/>
          <w:lang w:val="en-US" w:eastAsia="zh-CN"/>
        </w:rPr>
        <w:t>根据表8.3-1</w:t>
      </w:r>
      <w:r>
        <w:rPr>
          <w:rFonts w:hint="eastAsia" w:ascii="Times New Roman" w:hAnsi="Times New Roman" w:eastAsia="宋体" w:cs="Times New Roman"/>
          <w:color w:val="auto"/>
          <w:sz w:val="24"/>
          <w:lang w:val="en-US" w:eastAsia="zh-CN"/>
        </w:rPr>
        <w:t>本企业涉水风险物质</w:t>
      </w:r>
      <w:r>
        <w:rPr>
          <w:rFonts w:hint="eastAsia" w:ascii="Times New Roman" w:hAnsi="Times New Roman" w:cs="Times New Roman"/>
          <w:color w:val="auto"/>
          <w:sz w:val="24"/>
          <w:lang w:val="en-US" w:eastAsia="zh-CN"/>
        </w:rPr>
        <w:t>Q=623.82</w:t>
      </w:r>
      <w:r>
        <w:rPr>
          <w:rFonts w:hint="eastAsia" w:ascii="Times New Roman" w:hAnsi="Times New Roman" w:eastAsia="宋体" w:cs="Times New Roman"/>
          <w:color w:val="auto"/>
          <w:sz w:val="24"/>
          <w:lang w:val="en-US" w:eastAsia="zh-CN"/>
        </w:rPr>
        <w:t>，以Q3表示。</w:t>
      </w:r>
    </w:p>
    <w:p>
      <w:pPr>
        <w:pStyle w:val="5"/>
        <w:bidi w:val="0"/>
        <w:rPr>
          <w:rFonts w:hint="eastAsia"/>
          <w:lang w:val="en-US" w:eastAsia="zh-CN"/>
        </w:rPr>
      </w:pPr>
      <w:bookmarkStart w:id="466" w:name="_Toc7254"/>
      <w:r>
        <w:rPr>
          <w:rFonts w:hint="eastAsia"/>
          <w:lang w:val="en-US" w:eastAsia="zh-CN"/>
        </w:rPr>
        <w:t>8.3.1生产工艺过程与水环境风险控制水平（M）评估</w:t>
      </w:r>
      <w:bookmarkEnd w:id="466"/>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采用评分法对企业生产工艺过程、水环境风险防控措施及突发水环境事件发生情况进行评估，将各项分值累加，确定企业生产工艺过程与水环境风险控制水平（M）。</w:t>
      </w:r>
    </w:p>
    <w:p>
      <w:pPr>
        <w:pStyle w:val="6"/>
        <w:bidi w:val="0"/>
        <w:rPr>
          <w:rFonts w:hint="eastAsia"/>
          <w:lang w:val="en-US" w:eastAsia="zh-CN"/>
        </w:rPr>
      </w:pPr>
      <w:r>
        <w:rPr>
          <w:rFonts w:hint="eastAsia"/>
          <w:lang w:val="en-US" w:eastAsia="zh-CN"/>
        </w:rPr>
        <w:t>8.3.1.1生产工艺过程含有风险工艺和设备情况 </w:t>
      </w:r>
    </w:p>
    <w:p>
      <w:pPr>
        <w:pStyle w:val="7"/>
        <w:pageBreakBefore w:val="0"/>
        <w:wordWrap/>
        <w:topLinePunct w:val="0"/>
        <w:bidi w:val="0"/>
        <w:spacing w:line="360" w:lineRule="auto"/>
        <w:ind w:left="0" w:leftChars="0" w:right="0" w:rightChars="0" w:firstLine="0" w:firstLineChars="0"/>
        <w:jc w:val="left"/>
        <w:rPr>
          <w:rFonts w:hint="default" w:ascii="Times New Roman" w:hAnsi="Times New Roman" w:eastAsia="黑体" w:cs="Times New Roman"/>
          <w:color w:val="auto"/>
          <w:sz w:val="21"/>
          <w:szCs w:val="21"/>
          <w:highlight w:val="none"/>
          <w:lang w:val="en-US" w:eastAsia="zh-CN"/>
        </w:rPr>
      </w:pPr>
      <w:r>
        <w:rPr>
          <w:rFonts w:hint="eastAsia" w:ascii="Times New Roman" w:hAnsi="Times New Roman" w:cs="Times New Roman"/>
          <w:color w:val="auto"/>
          <w:sz w:val="24"/>
          <w:lang w:val="en-US" w:eastAsia="zh-CN"/>
        </w:rPr>
        <w:t xml:space="preserve">    </w:t>
      </w:r>
      <w:r>
        <w:rPr>
          <w:rFonts w:hint="eastAsia" w:ascii="Times New Roman" w:hAnsi="Times New Roman" w:eastAsia="宋体" w:cs="Times New Roman"/>
          <w:color w:val="auto"/>
          <w:sz w:val="24"/>
          <w:lang w:val="en-US" w:eastAsia="zh-CN"/>
        </w:rPr>
        <w:t>对企业生产工艺过程含有风险工艺和设备情况的评估按照工艺单元进行，具有多套工艺单元的企业，对每套工艺单元分别评分并求和，该指标分值最高为30分。</w:t>
      </w:r>
    </w:p>
    <w:p>
      <w:pPr>
        <w:pStyle w:val="7"/>
        <w:pageBreakBefore w:val="0"/>
        <w:wordWrap/>
        <w:topLinePunct w:val="0"/>
        <w:bidi w:val="0"/>
        <w:spacing w:line="360" w:lineRule="auto"/>
        <w:ind w:left="0" w:leftChars="0" w:right="0" w:rightChars="0" w:firstLine="0" w:firstLineChars="0"/>
        <w:jc w:val="center"/>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表8.3.1-1   企业生产工艺</w:t>
      </w:r>
    </w:p>
    <w:tbl>
      <w:tblPr>
        <w:tblStyle w:val="21"/>
        <w:tblW w:w="4998" w:type="pct"/>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autofit"/>
        <w:tblCellMar>
          <w:top w:w="0" w:type="dxa"/>
          <w:left w:w="108" w:type="dxa"/>
          <w:bottom w:w="0" w:type="dxa"/>
          <w:right w:w="108" w:type="dxa"/>
        </w:tblCellMar>
      </w:tblPr>
      <w:tblGrid>
        <w:gridCol w:w="4139"/>
        <w:gridCol w:w="763"/>
        <w:gridCol w:w="3617"/>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429"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评估依据</w:t>
            </w:r>
          </w:p>
        </w:tc>
        <w:tc>
          <w:tcPr>
            <w:tcW w:w="448"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分值</w:t>
            </w:r>
          </w:p>
        </w:tc>
        <w:tc>
          <w:tcPr>
            <w:tcW w:w="2121" w:type="pct"/>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得分情况</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429"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448"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10/每套</w:t>
            </w:r>
          </w:p>
        </w:tc>
        <w:tc>
          <w:tcPr>
            <w:tcW w:w="2121" w:type="pct"/>
            <w:noWrap w:val="0"/>
            <w:vAlign w:val="center"/>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rPr>
              <w:t>本行业是石油炼制行业</w:t>
            </w:r>
            <w:r>
              <w:rPr>
                <w:rFonts w:hint="eastAsia" w:ascii="Times New Roman" w:hAnsi="Times New Roman" w:eastAsia="宋体" w:cs="Times New Roman"/>
                <w:szCs w:val="21"/>
                <w:lang w:eastAsia="zh-CN"/>
              </w:rPr>
              <w:t>，</w:t>
            </w:r>
            <w:r>
              <w:rPr>
                <w:rFonts w:hint="default" w:ascii="Times New Roman" w:hAnsi="Times New Roman" w:eastAsia="宋体" w:cs="Times New Roman"/>
                <w:szCs w:val="21"/>
              </w:rPr>
              <w:t>涉及裂化工艺</w:t>
            </w:r>
            <w:r>
              <w:rPr>
                <w:rFonts w:hint="eastAsia" w:ascii="Times New Roman" w:hAnsi="Times New Roman" w:eastAsia="宋体" w:cs="Times New Roman"/>
                <w:szCs w:val="21"/>
                <w:lang w:eastAsia="zh-CN"/>
              </w:rPr>
              <w:t>；</w:t>
            </w:r>
            <w:r>
              <w:rPr>
                <w:rFonts w:hint="eastAsia" w:ascii="Times New Roman" w:hAnsi="Times New Roman" w:eastAsia="宋体" w:cs="Times New Roman"/>
                <w:szCs w:val="21"/>
                <w:lang w:val="en-US" w:eastAsia="zh-CN"/>
              </w:rPr>
              <w:t>同时140万吨/年柴油加氢降凝装置、30万吨/年煤油加氢精制装置、90万吨/年柴油加氢改质装置、120万吨/年催化汽油加氢脱硫装置涉及加氢工艺；所以共计得50分。</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429" w:type="pct"/>
            <w:noWrap w:val="0"/>
            <w:vAlign w:val="center"/>
          </w:tcPr>
          <w:p>
            <w:pPr>
              <w:spacing w:line="240" w:lineRule="auto"/>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其他高温或高压、涉及易燃易爆等物质的工艺过程a</w:t>
            </w:r>
          </w:p>
        </w:tc>
        <w:tc>
          <w:tcPr>
            <w:tcW w:w="448" w:type="pct"/>
            <w:noWrap w:val="0"/>
            <w:vAlign w:val="center"/>
          </w:tcPr>
          <w:p>
            <w:pPr>
              <w:spacing w:line="240" w:lineRule="auto"/>
              <w:ind w:left="0" w:firstLine="0" w:firstLineChars="0"/>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bCs/>
                <w:szCs w:val="21"/>
              </w:rPr>
              <w:t>5/每套</w:t>
            </w:r>
          </w:p>
        </w:tc>
        <w:tc>
          <w:tcPr>
            <w:tcW w:w="2121" w:type="pct"/>
            <w:noWrap w:val="0"/>
            <w:vAlign w:val="center"/>
          </w:tcPr>
          <w:p>
            <w:pPr>
              <w:spacing w:line="240" w:lineRule="auto"/>
              <w:ind w:left="0" w:firstLine="0" w:firstLineChars="0"/>
              <w:jc w:val="center"/>
              <w:rPr>
                <w:rFonts w:hint="default" w:ascii="Times New Roman" w:hAnsi="Times New Roman" w:eastAsia="宋体" w:cs="Times New Roman"/>
                <w:bCs/>
                <w:szCs w:val="21"/>
                <w:lang w:val="en-US" w:eastAsia="zh-CN"/>
              </w:rPr>
            </w:pPr>
            <w:r>
              <w:rPr>
                <w:rFonts w:hint="eastAsia" w:ascii="Times New Roman" w:hAnsi="Times New Roman" w:eastAsia="宋体" w:cs="Times New Roman"/>
                <w:bCs/>
                <w:szCs w:val="21"/>
                <w:lang w:val="en-US" w:eastAsia="zh-CN"/>
              </w:rPr>
              <w:t>柴油加氢改质反应及加热炉工段为高温高压工艺过程；其余15个工艺单元涉及易燃易爆物质工艺过程。所以共计得85分。</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429"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具有国家规定限期淘汰的工艺名录和设备b</w:t>
            </w:r>
          </w:p>
        </w:tc>
        <w:tc>
          <w:tcPr>
            <w:tcW w:w="448"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5/每套</w:t>
            </w:r>
          </w:p>
        </w:tc>
        <w:tc>
          <w:tcPr>
            <w:tcW w:w="2121" w:type="pct"/>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无</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429"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 xml:space="preserve">不涉及以上危险工艺过程或国家规定的禁用工艺/设备 </w:t>
            </w:r>
          </w:p>
        </w:tc>
        <w:tc>
          <w:tcPr>
            <w:tcW w:w="448"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c>
          <w:tcPr>
            <w:tcW w:w="2121" w:type="pct"/>
            <w:noWrap w:val="0"/>
            <w:vAlign w:val="center"/>
          </w:tcPr>
          <w:p>
            <w:pPr>
              <w:spacing w:line="240" w:lineRule="auto"/>
              <w:ind w:left="0" w:firstLine="0" w:firstLineChars="0"/>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无</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2429" w:type="pct"/>
            <w:noWrap w:val="0"/>
            <w:vAlign w:val="center"/>
          </w:tcPr>
          <w:p>
            <w:pPr>
              <w:spacing w:line="240" w:lineRule="auto"/>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总分</w:t>
            </w:r>
          </w:p>
        </w:tc>
        <w:tc>
          <w:tcPr>
            <w:tcW w:w="448" w:type="pct"/>
            <w:noWrap w:val="0"/>
            <w:vAlign w:val="top"/>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30</w:t>
            </w:r>
          </w:p>
        </w:tc>
        <w:tc>
          <w:tcPr>
            <w:tcW w:w="2121" w:type="pct"/>
            <w:noWrap w:val="0"/>
            <w:vAlign w:val="top"/>
          </w:tcPr>
          <w:p>
            <w:pPr>
              <w:spacing w:line="240" w:lineRule="auto"/>
              <w:ind w:left="0" w:firstLine="0" w:firstLineChars="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5000" w:type="pct"/>
            <w:gridSpan w:val="3"/>
            <w:noWrap w:val="0"/>
            <w:vAlign w:val="center"/>
          </w:tcPr>
          <w:p>
            <w:pPr>
              <w:spacing w:line="240" w:lineRule="auto"/>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注：a高温指工艺温度≥300℃，高压指压力容器的设计压力（p）≥10.0MPa，易燃易爆等物质是指按照GB30000.2至GB30000.13 所确定的化学物质；b指《产业结构调整指导目录》中有淘汰期限的淘汰类落后生产工艺装备</w:t>
            </w:r>
          </w:p>
        </w:tc>
      </w:tr>
    </w:tbl>
    <w:p>
      <w:pPr>
        <w:pStyle w:val="6"/>
        <w:pageBreakBefore w:val="0"/>
        <w:wordWrap/>
        <w:topLinePunct w:val="0"/>
        <w:bidi w:val="0"/>
        <w:spacing w:before="0" w:beforeLines="0" w:beforeAutospacing="0" w:after="0" w:afterLines="0" w:afterAutospacing="0" w:line="360" w:lineRule="auto"/>
        <w:ind w:left="0" w:leftChars="0" w:right="0" w:rightChars="0"/>
        <w:jc w:val="left"/>
        <w:rPr>
          <w:rFonts w:hint="eastAsia" w:ascii="Times New Roman" w:hAnsi="Times New Roman" w:eastAsia="宋体" w:cs="Times New Roman"/>
          <w:b/>
          <w:color w:val="auto"/>
          <w:kern w:val="28"/>
          <w:sz w:val="24"/>
          <w:highlight w:val="none"/>
          <w:lang w:val="en-US" w:eastAsia="zh-CN"/>
        </w:rPr>
      </w:pPr>
      <w:r>
        <w:rPr>
          <w:rFonts w:hint="eastAsia" w:ascii="Times New Roman" w:hAnsi="Times New Roman" w:eastAsia="宋体" w:cs="Times New Roman"/>
          <w:b/>
          <w:color w:val="auto"/>
          <w:kern w:val="28"/>
          <w:sz w:val="24"/>
          <w:highlight w:val="none"/>
          <w:lang w:val="en-US" w:eastAsia="zh-CN"/>
        </w:rPr>
        <w:t>8.3.1.2水环境风险防控措施及突发水环境事件发生情况 </w:t>
      </w:r>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企业水环境风险防控措施及突发水环境事件发生情况评估指标见表8.3.1-2。对各项评估指标分别评分、计算总和，各项指标分值合计最高为70分。</w:t>
      </w:r>
    </w:p>
    <w:p>
      <w:pPr>
        <w:pStyle w:val="7"/>
        <w:pageBreakBefore w:val="0"/>
        <w:wordWrap/>
        <w:topLinePunct w:val="0"/>
        <w:bidi w:val="0"/>
        <w:spacing w:line="360" w:lineRule="auto"/>
        <w:ind w:left="0" w:leftChars="0" w:right="0" w:rightChars="0" w:firstLine="0" w:firstLineChars="0"/>
        <w:jc w:val="center"/>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表8.3.1-2  水环境风险防控措施及突发水环境事件发生情况评估</w:t>
      </w:r>
    </w:p>
    <w:tbl>
      <w:tblPr>
        <w:tblStyle w:val="21"/>
        <w:tblW w:w="0" w:type="auto"/>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528"/>
        <w:gridCol w:w="4645"/>
        <w:gridCol w:w="838"/>
        <w:gridCol w:w="745"/>
        <w:gridCol w:w="772"/>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40" w:hRule="atLeast"/>
          <w:jc w:val="center"/>
        </w:trPr>
        <w:tc>
          <w:tcPr>
            <w:tcW w:w="152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评估指标</w:t>
            </w:r>
          </w:p>
        </w:tc>
        <w:tc>
          <w:tcPr>
            <w:tcW w:w="4645"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评估依据</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分值</w:t>
            </w:r>
          </w:p>
        </w:tc>
        <w:tc>
          <w:tcPr>
            <w:tcW w:w="745"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实际情况</w:t>
            </w:r>
          </w:p>
        </w:tc>
        <w:tc>
          <w:tcPr>
            <w:tcW w:w="772"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得分</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76" w:hRule="atLeast"/>
          <w:jc w:val="center"/>
        </w:trPr>
        <w:tc>
          <w:tcPr>
            <w:tcW w:w="1528" w:type="dxa"/>
            <w:vMerge w:val="restart"/>
            <w:noWrap w:val="0"/>
            <w:vAlign w:val="center"/>
          </w:tcPr>
          <w:p>
            <w:pPr>
              <w:spacing w:line="280" w:lineRule="exact"/>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截流措施</w:t>
            </w:r>
          </w:p>
        </w:tc>
        <w:tc>
          <w:tcPr>
            <w:tcW w:w="4645" w:type="dxa"/>
            <w:noWrap w:val="0"/>
            <w:vAlign w:val="center"/>
          </w:tcPr>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（1）环境风险单元设防渗漏、防腐蚀、防淋溶、防流失措施；且</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（2）装置围堰与罐区防火堤（围堰）外设排水切换阀，正常情况下通向雨水系统的阀门关闭，通向事故存液池、应急事故水池、清净废水排放缓冲池或污水处理系统的阀门打开；且</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（3）前述措施日常管理及维护良好，有专人负责阀门切换或设置自动切换设施，保证初期雨水、泄漏物和受污染的消防水排入污水系统</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0</w:t>
            </w:r>
          </w:p>
        </w:tc>
        <w:tc>
          <w:tcPr>
            <w:tcW w:w="745" w:type="dxa"/>
            <w:vMerge w:val="restart"/>
            <w:noWrap w:val="0"/>
            <w:vAlign w:val="center"/>
          </w:tcPr>
          <w:p>
            <w:pPr>
              <w:spacing w:line="280" w:lineRule="exact"/>
              <w:ind w:left="0" w:firstLine="0" w:firstLineChars="0"/>
              <w:jc w:val="center"/>
              <w:rPr>
                <w:rFonts w:hint="default" w:ascii="Times New Roman" w:hAnsi="Times New Roman" w:eastAsia="宋体" w:cs="Times New Roman"/>
                <w:bCs/>
                <w:szCs w:val="21"/>
                <w:lang w:val="en-US" w:eastAsia="zh-CN"/>
              </w:rPr>
            </w:pPr>
            <w:r>
              <w:rPr>
                <w:rFonts w:hint="eastAsia" w:ascii="Times New Roman" w:hAnsi="Times New Roman" w:eastAsia="宋体" w:cs="Times New Roman"/>
                <w:bCs/>
                <w:szCs w:val="21"/>
                <w:lang w:val="en-US" w:eastAsia="zh-CN"/>
              </w:rPr>
              <w:t>企业设置了三级防空系统</w:t>
            </w:r>
          </w:p>
        </w:tc>
        <w:tc>
          <w:tcPr>
            <w:tcW w:w="772" w:type="dxa"/>
            <w:vMerge w:val="restart"/>
            <w:noWrap w:val="0"/>
            <w:vAlign w:val="center"/>
          </w:tcPr>
          <w:p>
            <w:pPr>
              <w:spacing w:line="280" w:lineRule="exact"/>
              <w:ind w:left="413" w:hanging="413"/>
              <w:jc w:val="center"/>
              <w:rPr>
                <w:rFonts w:hint="default" w:ascii="Times New Roman" w:hAnsi="Times New Roman" w:eastAsia="宋体" w:cs="Times New Roman"/>
                <w:szCs w:val="21"/>
                <w:lang w:eastAsia="zh-CN"/>
              </w:rPr>
            </w:pPr>
            <w:r>
              <w:rPr>
                <w:rFonts w:hint="default" w:ascii="Times New Roman" w:hAnsi="Times New Roman" w:eastAsia="宋体" w:cs="Times New Roman"/>
                <w:b/>
                <w:szCs w:val="21"/>
                <w:lang w:val="en-US" w:eastAsia="zh-CN"/>
              </w:rPr>
              <w:t>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有任意一个环境风险单元（包括可能发生液体泄漏或产生液体泄漏物的危险废物贮存场所）的截流措施不符合上述任意一条要求的</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8</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0" w:firstLine="0" w:firstLineChars="0"/>
              <w:jc w:val="center"/>
              <w:rPr>
                <w:rFonts w:hint="default" w:ascii="Times New Roman" w:hAnsi="Times New Roman" w:eastAsia="宋体" w:cs="Times New Roman"/>
                <w:b/>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40" w:hRule="atLeast"/>
          <w:jc w:val="center"/>
        </w:trPr>
        <w:tc>
          <w:tcPr>
            <w:tcW w:w="1528"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事故废水收集</w:t>
            </w:r>
          </w:p>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措施</w:t>
            </w:r>
          </w:p>
        </w:tc>
        <w:tc>
          <w:tcPr>
            <w:tcW w:w="4645" w:type="dxa"/>
            <w:noWrap w:val="0"/>
            <w:vAlign w:val="center"/>
          </w:tcPr>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（1）按相关设计规范设置应急事故水池、事故存液池或清净废水排放缓冲池等事排水收集设施，并根据相关设计规范、下游环境风险受体敏感程度和易发生极端天气情况，设计事故排水收集设施的容量；且</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（2）确保事故排水收集设施在事故状态下能顺利收集泄漏物和消防水，日常保持足够的事故排水缓冲容量；且</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bCs/>
                <w:szCs w:val="21"/>
              </w:rPr>
              <w:t>（3）通过协议单位或自建管线，能将所收集废水送至厂区内污水处理设施处理</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c>
          <w:tcPr>
            <w:tcW w:w="745"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rPr>
              <w:t>设置事故</w:t>
            </w:r>
            <w:r>
              <w:rPr>
                <w:rFonts w:hint="default" w:ascii="Times New Roman" w:hAnsi="Times New Roman" w:eastAsia="宋体" w:cs="Times New Roman"/>
                <w:szCs w:val="21"/>
                <w:lang w:val="en-US" w:eastAsia="zh-CN"/>
              </w:rPr>
              <w:t>收集池</w:t>
            </w:r>
          </w:p>
        </w:tc>
        <w:tc>
          <w:tcPr>
            <w:tcW w:w="772" w:type="dxa"/>
            <w:vMerge w:val="restart"/>
            <w:noWrap w:val="0"/>
            <w:vAlign w:val="center"/>
          </w:tcPr>
          <w:p>
            <w:pPr>
              <w:spacing w:line="280" w:lineRule="exact"/>
              <w:ind w:left="413" w:hanging="413"/>
              <w:jc w:val="center"/>
              <w:rPr>
                <w:rFonts w:hint="default" w:ascii="Times New Roman" w:hAnsi="Times New Roman" w:eastAsia="宋体" w:cs="Times New Roman"/>
                <w:szCs w:val="21"/>
              </w:rPr>
            </w:pPr>
            <w:r>
              <w:rPr>
                <w:rFonts w:hint="default" w:ascii="Times New Roman" w:hAnsi="Times New Roman" w:eastAsia="宋体" w:cs="Times New Roman"/>
                <w:b/>
                <w:szCs w:val="21"/>
              </w:rPr>
              <w:t>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有任意一个环境风险单元（包括可能发生液体泄漏或产生液体泄漏物的危险废物贮存场所）的事故排水收集措施不符合上述任意一条要求的</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8</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0" w:firstLine="0" w:firstLineChars="0"/>
              <w:jc w:val="center"/>
              <w:rPr>
                <w:rFonts w:hint="default" w:ascii="Times New Roman" w:hAnsi="Times New Roman" w:eastAsia="宋体" w:cs="Times New Roman"/>
                <w:b/>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清净废水系统</w:t>
            </w:r>
          </w:p>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风险防控措施</w:t>
            </w:r>
          </w:p>
        </w:tc>
        <w:tc>
          <w:tcPr>
            <w:tcW w:w="4645" w:type="dxa"/>
            <w:noWrap w:val="0"/>
            <w:vAlign w:val="center"/>
          </w:tcPr>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（1）不涉及清净废水；或</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（2）厂区内清净废水均可排入废水处理系统；或清污分流，且清净废水系统具有</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下述所有措施：</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①具有收集受污染的清净废水的缓冲池（或收集池），池内日常保持足够的事故排水缓冲容量；池内设有提升设施或通过自流，能将所收集物送至厂区内污水处理设施处理；且</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②具有清净废水系统的总排口监视及关闭设施，有专人负责在紧急情况下关闭清净废水总排口，防止受污染的清净废水和泄漏物进入外环境</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0</w:t>
            </w:r>
          </w:p>
        </w:tc>
        <w:tc>
          <w:tcPr>
            <w:tcW w:w="745" w:type="dxa"/>
            <w:vMerge w:val="restart"/>
            <w:noWrap w:val="0"/>
            <w:vAlign w:val="center"/>
          </w:tcPr>
          <w:p>
            <w:pPr>
              <w:spacing w:line="280" w:lineRule="exact"/>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厂区内清净废水均可排入废水处理系统</w:t>
            </w:r>
          </w:p>
        </w:tc>
        <w:tc>
          <w:tcPr>
            <w:tcW w:w="772" w:type="dxa"/>
            <w:vMerge w:val="restart"/>
            <w:noWrap w:val="0"/>
            <w:vAlign w:val="center"/>
          </w:tcPr>
          <w:p>
            <w:pPr>
              <w:spacing w:line="280" w:lineRule="exact"/>
              <w:ind w:left="0" w:firstLine="0" w:firstLineChars="0"/>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涉及清净废水，有任意一个环境风险单元的清净废水系统风险防控措施不符合上述（2）要求的</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8</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雨水排水系统</w:t>
            </w:r>
          </w:p>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风险防控措施</w:t>
            </w:r>
          </w:p>
        </w:tc>
        <w:tc>
          <w:tcPr>
            <w:tcW w:w="4645" w:type="dxa"/>
            <w:noWrap w:val="0"/>
            <w:vAlign w:val="center"/>
          </w:tcPr>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（1）厂区内雨水均进入废水处理系统；或雨污分流，且雨水排水系统具有下述所</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有措施：</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①具有收集初期雨水的收集池或雨水监控池；池出水管上设置切断阀，正常情况下阀门关闭，防止受污染的雨水外排；池内设有提升设施或通过自流，能将所收集物送至厂区内污水处理设施处理；</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②具有雨水系统总排口（含泄洪渠）监视及关闭设施，在紧急情况下有专人负责关闭雨水系统总排口（含与清净废水共用一套排水系统情况），防止雨水、消防水和泄漏物进入外环境</w:t>
            </w:r>
          </w:p>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（2）如果有排洪沟，排洪沟不得通过生产区和罐区，或具有防止泄漏物和受污染的消防水等流入区域排洪沟的措施</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0</w:t>
            </w:r>
          </w:p>
        </w:tc>
        <w:tc>
          <w:tcPr>
            <w:tcW w:w="745" w:type="dxa"/>
            <w:vMerge w:val="restart"/>
            <w:noWrap w:val="0"/>
            <w:vAlign w:val="center"/>
          </w:tcPr>
          <w:p>
            <w:pPr>
              <w:spacing w:line="280" w:lineRule="exact"/>
              <w:ind w:left="0" w:firstLine="0" w:firstLineChars="0"/>
              <w:jc w:val="center"/>
              <w:rPr>
                <w:rFonts w:hint="default" w:ascii="Times New Roman" w:hAnsi="Times New Roman" w:eastAsia="宋体" w:cs="Times New Roman"/>
                <w:bCs/>
                <w:szCs w:val="21"/>
                <w:lang w:eastAsia="zh-CN"/>
              </w:rPr>
            </w:pPr>
            <w:r>
              <w:rPr>
                <w:rFonts w:hint="default" w:ascii="Times New Roman" w:hAnsi="Times New Roman" w:eastAsia="宋体" w:cs="Times New Roman"/>
                <w:bCs/>
                <w:szCs w:val="21"/>
              </w:rPr>
              <w:t>厂区内雨水均进入废水处理系统</w:t>
            </w:r>
          </w:p>
        </w:tc>
        <w:tc>
          <w:tcPr>
            <w:tcW w:w="772" w:type="dxa"/>
            <w:vMerge w:val="restart"/>
            <w:noWrap w:val="0"/>
            <w:vAlign w:val="center"/>
          </w:tcPr>
          <w:p>
            <w:pPr>
              <w:spacing w:line="280" w:lineRule="exact"/>
              <w:ind w:left="413" w:hanging="413"/>
              <w:jc w:val="center"/>
              <w:rPr>
                <w:rFonts w:hint="eastAsia" w:ascii="Times New Roman" w:hAnsi="Times New Roman" w:eastAsia="宋体" w:cs="Times New Roman"/>
                <w:bCs/>
                <w:szCs w:val="21"/>
                <w:lang w:val="en-US" w:eastAsia="zh-CN"/>
              </w:rPr>
            </w:pPr>
            <w:r>
              <w:rPr>
                <w:rFonts w:hint="eastAsia" w:ascii="Times New Roman" w:hAnsi="Times New Roman" w:eastAsia="宋体" w:cs="Times New Roman"/>
                <w:bCs/>
                <w:szCs w:val="21"/>
                <w:lang w:val="en-US" w:eastAsia="zh-CN"/>
              </w:rPr>
              <w:t>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不符合上述要求的</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8</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0" w:firstLine="0" w:firstLineChars="0"/>
              <w:jc w:val="center"/>
              <w:rPr>
                <w:rFonts w:hint="default" w:ascii="Times New Roman" w:hAnsi="Times New Roman" w:eastAsia="宋体" w:cs="Times New Roman"/>
                <w:b/>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生产废水处理</w:t>
            </w:r>
          </w:p>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系统风险防控</w:t>
            </w:r>
          </w:p>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措施</w:t>
            </w:r>
          </w:p>
        </w:tc>
        <w:tc>
          <w:tcPr>
            <w:tcW w:w="4645" w:type="dxa"/>
            <w:noWrap w:val="0"/>
            <w:vAlign w:val="center"/>
          </w:tcPr>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（1）无生产废水产生或外排；或</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（2）有废水外排时：</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①受污染的循环冷却水、雨水、消防水等排入生产废水系统或独立处理系统；</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②生产废水排放前设监控池，能够将不合格废水送废水处理设施处理；</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③如企业受污染的清净废水或雨水进入废水处理系统处理，则废水处理系统应设置事故水缓冲设施；</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④具有生产废水总排口监视及关闭设施，有专人负责启闭，确保泄漏物、受污染的消防水、不合格废水不排出厂外</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c>
          <w:tcPr>
            <w:tcW w:w="745"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废水进入园区管网</w:t>
            </w:r>
          </w:p>
        </w:tc>
        <w:tc>
          <w:tcPr>
            <w:tcW w:w="772" w:type="dxa"/>
            <w:vMerge w:val="restart"/>
            <w:noWrap w:val="0"/>
            <w:vAlign w:val="center"/>
          </w:tcPr>
          <w:p>
            <w:pPr>
              <w:spacing w:line="280" w:lineRule="exact"/>
              <w:ind w:left="412" w:hanging="412"/>
              <w:jc w:val="center"/>
              <w:rPr>
                <w:rFonts w:hint="default" w:ascii="Times New Roman" w:hAnsi="Times New Roman" w:eastAsia="宋体" w:cs="Times New Roman"/>
                <w:b/>
                <w:szCs w:val="21"/>
              </w:rPr>
            </w:pPr>
            <w:r>
              <w:rPr>
                <w:rFonts w:hint="default" w:ascii="Times New Roman" w:hAnsi="Times New Roman" w:eastAsia="宋体" w:cs="Times New Roman"/>
                <w:szCs w:val="21"/>
              </w:rPr>
              <w:t>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涉及废水外排，且不符合上述（2）中任意一条要求的</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8</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废水排放去向</w:t>
            </w:r>
          </w:p>
        </w:tc>
        <w:tc>
          <w:tcPr>
            <w:tcW w:w="4645" w:type="dxa"/>
            <w:noWrap w:val="0"/>
            <w:vAlign w:val="center"/>
          </w:tcPr>
          <w:p>
            <w:pPr>
              <w:spacing w:line="280" w:lineRule="exact"/>
              <w:ind w:left="0" w:firstLine="0" w:firstLineChars="0"/>
              <w:rPr>
                <w:rFonts w:hint="default" w:ascii="Times New Roman" w:hAnsi="Times New Roman" w:eastAsia="宋体" w:cs="Times New Roman"/>
                <w:bCs/>
                <w:szCs w:val="21"/>
              </w:rPr>
            </w:pPr>
            <w:r>
              <w:rPr>
                <w:rFonts w:hint="default" w:ascii="Times New Roman" w:hAnsi="Times New Roman" w:eastAsia="宋体" w:cs="Times New Roman"/>
                <w:bCs/>
                <w:szCs w:val="21"/>
              </w:rPr>
              <w:t>无生产废水产生或外排</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0</w:t>
            </w:r>
          </w:p>
        </w:tc>
        <w:tc>
          <w:tcPr>
            <w:tcW w:w="745" w:type="dxa"/>
            <w:vMerge w:val="restart"/>
            <w:noWrap w:val="0"/>
            <w:vAlign w:val="center"/>
          </w:tcPr>
          <w:p>
            <w:pPr>
              <w:spacing w:line="280" w:lineRule="exact"/>
              <w:ind w:left="0" w:firstLine="0" w:firstLineChars="0"/>
              <w:jc w:val="center"/>
              <w:rPr>
                <w:rFonts w:hint="default" w:ascii="Times New Roman" w:hAnsi="Times New Roman" w:eastAsia="宋体" w:cs="Times New Roman"/>
                <w:bCs/>
                <w:szCs w:val="21"/>
                <w:lang w:val="en-US" w:eastAsia="zh-CN"/>
              </w:rPr>
            </w:pPr>
            <w:r>
              <w:rPr>
                <w:rFonts w:hint="default" w:ascii="Times New Roman" w:hAnsi="Times New Roman" w:eastAsia="宋体" w:cs="Times New Roman"/>
                <w:szCs w:val="21"/>
              </w:rPr>
              <w:t>依法获取污水排入排水管网许可，进入城镇污水处理厂</w:t>
            </w:r>
          </w:p>
        </w:tc>
        <w:tc>
          <w:tcPr>
            <w:tcW w:w="772" w:type="dxa"/>
            <w:vMerge w:val="restart"/>
            <w:noWrap w:val="0"/>
            <w:vAlign w:val="center"/>
          </w:tcPr>
          <w:p>
            <w:pPr>
              <w:spacing w:line="280" w:lineRule="exact"/>
              <w:ind w:left="413" w:hanging="413"/>
              <w:jc w:val="center"/>
              <w:rPr>
                <w:rFonts w:hint="eastAsia" w:ascii="Times New Roman" w:hAnsi="Times New Roman" w:eastAsia="宋体" w:cs="Times New Roman"/>
                <w:bCs/>
                <w:szCs w:val="21"/>
                <w:lang w:eastAsia="zh-CN"/>
              </w:rPr>
            </w:pPr>
            <w:r>
              <w:rPr>
                <w:rFonts w:hint="eastAsia" w:ascii="Times New Roman" w:hAnsi="Times New Roman" w:eastAsia="宋体" w:cs="Times New Roman"/>
                <w:b/>
                <w:szCs w:val="21"/>
                <w:lang w:val="en-US" w:eastAsia="zh-CN"/>
              </w:rPr>
              <w:t>6</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（1）依法获取污水排入排水管网许可，进入城镇污水处理厂；或</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（2）进入工业废水集中处理厂；或</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（3）进入其他单位</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6</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0" w:firstLine="0" w:firstLineChars="0"/>
              <w:jc w:val="center"/>
              <w:rPr>
                <w:rFonts w:hint="default" w:ascii="Times New Roman" w:hAnsi="Times New Roman" w:eastAsia="宋体" w:cs="Times New Roman"/>
                <w:b/>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（1）直接进入海域或进入江、河、湖、库等水环境；或</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（2）进入城市下水道再入江、河、湖、库或再进入海域；或</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（3）未依法取得污水排入排水管网许可，进入城镇污水处理厂；或</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（4）直接进入污灌农田或蒸发地</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12</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厂内危险废物</w:t>
            </w:r>
          </w:p>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环境管理</w:t>
            </w:r>
          </w:p>
        </w:tc>
        <w:tc>
          <w:tcPr>
            <w:tcW w:w="4645" w:type="dxa"/>
            <w:noWrap w:val="0"/>
            <w:vAlign w:val="center"/>
          </w:tcPr>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（1）不涉及危险废物的；或</w:t>
            </w:r>
          </w:p>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bCs/>
                <w:szCs w:val="21"/>
              </w:rPr>
              <w:t>（2）针对危险废物分区贮存、运输、利用、处置具有完善的专业设施和风险防控措施</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c>
          <w:tcPr>
            <w:tcW w:w="745"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lang w:val="en-US" w:eastAsia="zh-CN"/>
              </w:rPr>
            </w:pPr>
            <w:r>
              <w:rPr>
                <w:rFonts w:hint="default" w:ascii="Times New Roman" w:hAnsi="Times New Roman" w:eastAsia="宋体" w:cs="Times New Roman"/>
                <w:szCs w:val="21"/>
                <w:lang w:val="en-US" w:eastAsia="zh-CN"/>
              </w:rPr>
              <w:t>有完善危险废物风险防控措施</w:t>
            </w:r>
          </w:p>
        </w:tc>
        <w:tc>
          <w:tcPr>
            <w:tcW w:w="772" w:type="dxa"/>
            <w:vMerge w:val="restart"/>
            <w:noWrap w:val="0"/>
            <w:vAlign w:val="center"/>
          </w:tcPr>
          <w:p>
            <w:pPr>
              <w:spacing w:line="280" w:lineRule="exact"/>
              <w:ind w:left="0" w:firstLine="0" w:firstLineChars="0"/>
              <w:jc w:val="center"/>
              <w:rPr>
                <w:rFonts w:hint="default" w:ascii="Times New Roman" w:hAnsi="Times New Roman" w:eastAsia="宋体" w:cs="Times New Roman"/>
                <w:b/>
                <w:szCs w:val="21"/>
                <w:lang w:eastAsia="zh-CN"/>
              </w:rPr>
            </w:pPr>
            <w:r>
              <w:rPr>
                <w:rFonts w:hint="default" w:ascii="Times New Roman" w:hAnsi="Times New Roman" w:eastAsia="宋体" w:cs="Times New Roman"/>
                <w:b/>
                <w:bCs/>
                <w:szCs w:val="21"/>
                <w:lang w:val="en-US" w:eastAsia="zh-CN"/>
              </w:rPr>
              <w:t>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rPr>
                <w:rFonts w:hint="default" w:ascii="Times New Roman" w:hAnsi="Times New Roman" w:eastAsia="宋体" w:cs="Times New Roman"/>
                <w:szCs w:val="21"/>
              </w:rPr>
            </w:pPr>
            <w:r>
              <w:rPr>
                <w:rFonts w:hint="default" w:ascii="Times New Roman" w:hAnsi="Times New Roman" w:eastAsia="宋体" w:cs="Times New Roman"/>
                <w:szCs w:val="21"/>
              </w:rPr>
              <w:t>不具备完善的危险废物贮存、运输、利用、处置设施和风险防控措施</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10</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近3年内突发水环境事件发生情况</w:t>
            </w:r>
          </w:p>
        </w:tc>
        <w:tc>
          <w:tcPr>
            <w:tcW w:w="4645"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发生过特别重大及重大等级突发水环境事件的</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8</w:t>
            </w:r>
          </w:p>
        </w:tc>
        <w:tc>
          <w:tcPr>
            <w:tcW w:w="745" w:type="dxa"/>
            <w:vMerge w:val="restart"/>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未发生突发水环境事件</w:t>
            </w:r>
          </w:p>
        </w:tc>
        <w:tc>
          <w:tcPr>
            <w:tcW w:w="772" w:type="dxa"/>
            <w:vMerge w:val="restart"/>
            <w:noWrap w:val="0"/>
            <w:vAlign w:val="center"/>
          </w:tcPr>
          <w:p>
            <w:pPr>
              <w:spacing w:line="280" w:lineRule="exact"/>
              <w:ind w:left="195" w:hanging="195" w:hangingChars="93"/>
              <w:jc w:val="center"/>
              <w:rPr>
                <w:rFonts w:hint="default" w:ascii="Times New Roman" w:hAnsi="Times New Roman" w:eastAsia="宋体" w:cs="Times New Roman"/>
                <w:szCs w:val="21"/>
              </w:rPr>
            </w:pPr>
            <w:r>
              <w:rPr>
                <w:rFonts w:hint="default" w:ascii="Times New Roman" w:hAnsi="Times New Roman" w:eastAsia="宋体" w:cs="Times New Roman"/>
                <w:szCs w:val="21"/>
              </w:rPr>
              <w:t>0</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发生过较大等级突发水环境事件的</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6</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412" w:hanging="412"/>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发生过一般等级突发水环境事件的</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4</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vMerge w:val="continue"/>
            <w:noWrap w:val="0"/>
            <w:vAlign w:val="center"/>
          </w:tcPr>
          <w:p>
            <w:pPr>
              <w:spacing w:line="280" w:lineRule="exact"/>
              <w:ind w:left="412" w:hanging="412"/>
              <w:jc w:val="center"/>
              <w:rPr>
                <w:rFonts w:hint="default" w:ascii="Times New Roman" w:hAnsi="Times New Roman" w:eastAsia="宋体" w:cs="Times New Roman"/>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528" w:type="dxa"/>
            <w:vMerge w:val="continue"/>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4645" w:type="dxa"/>
            <w:noWrap w:val="0"/>
            <w:vAlign w:val="center"/>
          </w:tcPr>
          <w:p>
            <w:pPr>
              <w:spacing w:line="280" w:lineRule="exact"/>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未发生突发水环境事件的</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bCs/>
                <w:szCs w:val="21"/>
              </w:rPr>
            </w:pPr>
            <w:r>
              <w:rPr>
                <w:rFonts w:hint="default" w:ascii="Times New Roman" w:hAnsi="Times New Roman" w:eastAsia="宋体" w:cs="Times New Roman"/>
                <w:bCs/>
                <w:szCs w:val="21"/>
              </w:rPr>
              <w:t>0</w:t>
            </w:r>
          </w:p>
        </w:tc>
        <w:tc>
          <w:tcPr>
            <w:tcW w:w="745" w:type="dxa"/>
            <w:vMerge w:val="continue"/>
            <w:noWrap w:val="0"/>
            <w:vAlign w:val="center"/>
          </w:tcPr>
          <w:p>
            <w:pPr>
              <w:spacing w:line="280" w:lineRule="exact"/>
              <w:ind w:left="0" w:firstLine="0" w:firstLineChars="0"/>
              <w:jc w:val="center"/>
              <w:rPr>
                <w:rFonts w:hint="default" w:ascii="Times New Roman" w:hAnsi="Times New Roman" w:eastAsia="宋体" w:cs="Times New Roman"/>
                <w:bCs/>
                <w:szCs w:val="21"/>
              </w:rPr>
            </w:pPr>
          </w:p>
        </w:tc>
        <w:tc>
          <w:tcPr>
            <w:tcW w:w="772" w:type="dxa"/>
            <w:vMerge w:val="continue"/>
            <w:noWrap w:val="0"/>
            <w:vAlign w:val="center"/>
          </w:tcPr>
          <w:p>
            <w:pPr>
              <w:spacing w:line="280" w:lineRule="exact"/>
              <w:ind w:left="0" w:firstLine="0" w:firstLineChars="0"/>
              <w:jc w:val="center"/>
              <w:rPr>
                <w:rFonts w:hint="default" w:ascii="Times New Roman" w:hAnsi="Times New Roman" w:eastAsia="宋体" w:cs="Times New Roman"/>
                <w:bCs/>
                <w:szCs w:val="21"/>
              </w:rPr>
            </w:pP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PrEx>
        <w:trPr>
          <w:trHeight w:val="340" w:hRule="atLeast"/>
          <w:jc w:val="center"/>
        </w:trPr>
        <w:tc>
          <w:tcPr>
            <w:tcW w:w="6173" w:type="dxa"/>
            <w:gridSpan w:val="2"/>
            <w:noWrap w:val="0"/>
            <w:vAlign w:val="center"/>
          </w:tcPr>
          <w:p>
            <w:pPr>
              <w:spacing w:line="280" w:lineRule="exact"/>
              <w:ind w:left="0"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得分</w:t>
            </w:r>
          </w:p>
        </w:tc>
        <w:tc>
          <w:tcPr>
            <w:tcW w:w="838" w:type="dxa"/>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45" w:type="dxa"/>
            <w:noWrap w:val="0"/>
            <w:vAlign w:val="center"/>
          </w:tcPr>
          <w:p>
            <w:pPr>
              <w:spacing w:line="280" w:lineRule="exact"/>
              <w:ind w:left="0" w:firstLine="0" w:firstLineChars="0"/>
              <w:jc w:val="center"/>
              <w:rPr>
                <w:rFonts w:hint="default" w:ascii="Times New Roman" w:hAnsi="Times New Roman" w:eastAsia="宋体" w:cs="Times New Roman"/>
                <w:szCs w:val="21"/>
              </w:rPr>
            </w:pPr>
          </w:p>
        </w:tc>
        <w:tc>
          <w:tcPr>
            <w:tcW w:w="772" w:type="dxa"/>
            <w:noWrap w:val="0"/>
            <w:vAlign w:val="center"/>
          </w:tcPr>
          <w:p>
            <w:pPr>
              <w:spacing w:line="280" w:lineRule="exact"/>
              <w:ind w:left="0" w:firstLine="0" w:firstLineChars="0"/>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6</w:t>
            </w:r>
          </w:p>
        </w:tc>
      </w:tr>
    </w:tbl>
    <w:p>
      <w:pPr>
        <w:pStyle w:val="6"/>
        <w:bidi w:val="0"/>
        <w:rPr>
          <w:rFonts w:hint="eastAsia"/>
          <w:lang w:val="en-US" w:eastAsia="zh-CN"/>
        </w:rPr>
      </w:pPr>
      <w:r>
        <w:rPr>
          <w:rFonts w:hint="eastAsia"/>
          <w:lang w:val="en-US" w:eastAsia="zh-CN"/>
        </w:rPr>
        <w:t>8.3.1.3企业生产工艺过程与水环境风险控制水平</w:t>
      </w:r>
    </w:p>
    <w:p>
      <w:pPr>
        <w:spacing w:line="500" w:lineRule="exact"/>
        <w:ind w:firstLine="480" w:firstLineChars="200"/>
        <w:rPr>
          <w:rFonts w:hint="eastAsia" w:ascii="Times New Roman" w:hAnsi="Times New Roman" w:eastAsia="宋体" w:cs="Times New Roman"/>
          <w:color w:val="auto"/>
          <w:sz w:val="24"/>
          <w:lang w:val="en-US" w:eastAsia="zh-CN"/>
        </w:rPr>
      </w:pPr>
      <w:bookmarkStart w:id="467" w:name="_Toc7039615"/>
      <w:bookmarkStart w:id="468" w:name="_Toc1477"/>
      <w:r>
        <w:rPr>
          <w:rFonts w:hint="eastAsia" w:ascii="Times New Roman" w:hAnsi="Times New Roman" w:eastAsia="宋体" w:cs="Times New Roman"/>
          <w:color w:val="auto"/>
          <w:sz w:val="24"/>
          <w:lang w:val="en-US" w:eastAsia="zh-CN"/>
        </w:rPr>
        <w:t>将企业生产工艺过程、水环境风险防控措施及突发水环境事件发生情况各项指标评估分值累加，得出生产工艺过程与水环境风险控制水平值，按照表8.3.1-3划分为4个类型。</w:t>
      </w:r>
    </w:p>
    <w:p>
      <w:pPr>
        <w:jc w:val="center"/>
        <w:rPr>
          <w:rFonts w:ascii="Times New Roman" w:hAnsi="Times New Roman" w:cs="Times New Roman"/>
          <w:color w:val="auto"/>
          <w:sz w:val="24"/>
          <w:szCs w:val="24"/>
          <w:highlight w:val="none"/>
        </w:rPr>
      </w:pPr>
      <w:r>
        <w:rPr>
          <w:rFonts w:ascii="Times New Roman" w:hAnsi="Times New Roman" w:eastAsia="黑体" w:cs="Times New Roman"/>
          <w:color w:val="auto"/>
          <w:sz w:val="24"/>
          <w:szCs w:val="24"/>
          <w:highlight w:val="none"/>
        </w:rPr>
        <w:t>表</w:t>
      </w:r>
      <w:r>
        <w:rPr>
          <w:rFonts w:hint="eastAsia" w:ascii="Times New Roman" w:hAnsi="Times New Roman" w:eastAsia="黑体" w:cs="Times New Roman"/>
          <w:color w:val="auto"/>
          <w:sz w:val="24"/>
          <w:szCs w:val="24"/>
          <w:highlight w:val="none"/>
        </w:rPr>
        <w:t>8</w:t>
      </w:r>
      <w:r>
        <w:rPr>
          <w:rFonts w:hint="eastAsia" w:ascii="Times New Roman" w:hAnsi="Times New Roman" w:eastAsia="黑体" w:cs="Times New Roman"/>
          <w:color w:val="auto"/>
          <w:sz w:val="24"/>
          <w:szCs w:val="24"/>
          <w:highlight w:val="none"/>
          <w:lang w:val="en-US" w:eastAsia="zh-CN"/>
        </w:rPr>
        <w:t>.3.1</w:t>
      </w:r>
      <w:r>
        <w:rPr>
          <w:rFonts w:hint="eastAsia" w:ascii="Times New Roman" w:hAnsi="Times New Roman" w:eastAsia="黑体" w:cs="Times New Roman"/>
          <w:color w:val="auto"/>
          <w:sz w:val="24"/>
          <w:szCs w:val="24"/>
          <w:highlight w:val="none"/>
        </w:rPr>
        <w:t>-</w:t>
      </w:r>
      <w:r>
        <w:rPr>
          <w:rFonts w:hint="eastAsia" w:ascii="Times New Roman" w:hAnsi="Times New Roman" w:eastAsia="黑体" w:cs="Times New Roman"/>
          <w:color w:val="auto"/>
          <w:sz w:val="24"/>
          <w:szCs w:val="24"/>
          <w:highlight w:val="none"/>
          <w:lang w:val="en-US" w:eastAsia="zh-CN"/>
        </w:rPr>
        <w:t>3</w:t>
      </w:r>
      <w:r>
        <w:rPr>
          <w:rFonts w:ascii="Times New Roman" w:hAnsi="Times New Roman" w:eastAsia="黑体" w:cs="Times New Roman"/>
          <w:color w:val="auto"/>
          <w:sz w:val="24"/>
          <w:szCs w:val="24"/>
          <w:highlight w:val="none"/>
        </w:rPr>
        <w:t xml:space="preserve">  企业生产工艺与环境风险控制水平</w:t>
      </w:r>
    </w:p>
    <w:tbl>
      <w:tblPr>
        <w:tblStyle w:val="21"/>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261"/>
        <w:gridCol w:w="426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0" w:type="pct"/>
            <w:noWrap w:val="0"/>
            <w:vAlign w:val="center"/>
          </w:tcPr>
          <w:p>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工艺与环境风险控制水平值（M）</w:t>
            </w:r>
          </w:p>
        </w:tc>
        <w:tc>
          <w:tcPr>
            <w:tcW w:w="2500" w:type="pct"/>
            <w:noWrap w:val="0"/>
            <w:vAlign w:val="center"/>
          </w:tcPr>
          <w:p>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工艺过程与环境风险控制水平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0" w:type="pct"/>
            <w:noWrap w:val="0"/>
            <w:vAlign w:val="center"/>
          </w:tcPr>
          <w:p>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M&lt;25</w:t>
            </w:r>
          </w:p>
        </w:tc>
        <w:tc>
          <w:tcPr>
            <w:tcW w:w="2500" w:type="pct"/>
            <w:noWrap w:val="0"/>
            <w:vAlign w:val="center"/>
          </w:tcPr>
          <w:p>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M1类水平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0" w:type="pct"/>
            <w:noWrap w:val="0"/>
            <w:vAlign w:val="center"/>
          </w:tcPr>
          <w:p>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25≤M&lt;45</w:t>
            </w:r>
          </w:p>
        </w:tc>
        <w:tc>
          <w:tcPr>
            <w:tcW w:w="2500" w:type="pct"/>
            <w:noWrap w:val="0"/>
            <w:vAlign w:val="center"/>
          </w:tcPr>
          <w:p>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M2类水平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0" w:type="pct"/>
            <w:noWrap w:val="0"/>
            <w:vAlign w:val="center"/>
          </w:tcPr>
          <w:p>
            <w:pPr>
              <w:adjustRightInd w:val="0"/>
              <w:snapToGrid w:val="0"/>
              <w:jc w:val="center"/>
              <w:rPr>
                <w:rFonts w:hint="eastAsia"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45≤M&lt;6</w:t>
            </w:r>
            <w:r>
              <w:rPr>
                <w:rFonts w:hint="eastAsia" w:ascii="Times New Roman" w:hAnsi="Times New Roman" w:cs="Times New Roman"/>
                <w:color w:val="auto"/>
                <w:sz w:val="21"/>
                <w:szCs w:val="21"/>
                <w:highlight w:val="none"/>
              </w:rPr>
              <w:t>5</w:t>
            </w:r>
          </w:p>
        </w:tc>
        <w:tc>
          <w:tcPr>
            <w:tcW w:w="2500" w:type="pct"/>
            <w:noWrap w:val="0"/>
            <w:vAlign w:val="center"/>
          </w:tcPr>
          <w:p>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M3类水平</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500" w:type="pct"/>
            <w:noWrap w:val="0"/>
            <w:vAlign w:val="center"/>
          </w:tcPr>
          <w:p>
            <w:pPr>
              <w:adjustRightInd w:val="0"/>
              <w:snapToGrid w:val="0"/>
              <w:jc w:val="center"/>
              <w:rPr>
                <w:rFonts w:hint="eastAsia"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M≥6</w:t>
            </w:r>
            <w:r>
              <w:rPr>
                <w:rFonts w:hint="eastAsia" w:ascii="Times New Roman" w:hAnsi="Times New Roman" w:cs="Times New Roman"/>
                <w:color w:val="auto"/>
                <w:sz w:val="21"/>
                <w:szCs w:val="21"/>
                <w:highlight w:val="none"/>
              </w:rPr>
              <w:t>5</w:t>
            </w:r>
          </w:p>
        </w:tc>
        <w:tc>
          <w:tcPr>
            <w:tcW w:w="2500" w:type="pct"/>
            <w:noWrap w:val="0"/>
            <w:vAlign w:val="center"/>
          </w:tcPr>
          <w:p>
            <w:pPr>
              <w:adjustRightInd w:val="0"/>
              <w:snapToGrid w:val="0"/>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M4类水平</w:t>
            </w:r>
          </w:p>
        </w:tc>
      </w:tr>
    </w:tbl>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对照表8.3.1-1~8.3.1-3，可以得出</w:t>
      </w:r>
      <w:r>
        <w:rPr>
          <w:rFonts w:hint="eastAsia" w:ascii="Times New Roman" w:hAnsi="Times New Roman" w:cs="Times New Roman"/>
          <w:color w:val="auto"/>
          <w:sz w:val="24"/>
          <w:lang w:val="en-US" w:eastAsia="zh-CN"/>
        </w:rPr>
        <w:t>中国石油天然气股份有限公司呼和浩特石化分公司</w:t>
      </w:r>
      <w:r>
        <w:rPr>
          <w:rFonts w:hint="eastAsia" w:ascii="Times New Roman" w:hAnsi="Times New Roman" w:eastAsia="宋体" w:cs="Times New Roman"/>
          <w:color w:val="auto"/>
          <w:sz w:val="24"/>
          <w:lang w:val="en-US" w:eastAsia="zh-CN"/>
        </w:rPr>
        <w:t>水环境风险及其控制水平M=</w:t>
      </w:r>
      <w:r>
        <w:rPr>
          <w:rFonts w:hint="eastAsia" w:ascii="Times New Roman" w:hAnsi="Times New Roman" w:cs="Times New Roman"/>
          <w:color w:val="auto"/>
          <w:sz w:val="24"/>
          <w:lang w:val="en-US" w:eastAsia="zh-CN"/>
        </w:rPr>
        <w:t>36</w:t>
      </w:r>
      <w:r>
        <w:rPr>
          <w:rFonts w:hint="eastAsia" w:ascii="Times New Roman" w:hAnsi="Times New Roman" w:eastAsia="宋体" w:cs="Times New Roman"/>
          <w:color w:val="auto"/>
          <w:sz w:val="24"/>
          <w:lang w:val="en-US" w:eastAsia="zh-CN"/>
        </w:rPr>
        <w:t>，为M</w:t>
      </w:r>
      <w:r>
        <w:rPr>
          <w:rFonts w:hint="eastAsia" w:ascii="Times New Roman" w:hAnsi="Times New Roman" w:cs="Times New Roman"/>
          <w:color w:val="auto"/>
          <w:sz w:val="24"/>
          <w:lang w:val="en-US" w:eastAsia="zh-CN"/>
        </w:rPr>
        <w:t>2</w:t>
      </w:r>
      <w:r>
        <w:rPr>
          <w:rFonts w:hint="eastAsia" w:ascii="Times New Roman" w:hAnsi="Times New Roman" w:eastAsia="宋体" w:cs="Times New Roman"/>
          <w:color w:val="auto"/>
          <w:sz w:val="24"/>
          <w:lang w:val="en-US" w:eastAsia="zh-CN"/>
        </w:rPr>
        <w:t>类水平。</w:t>
      </w:r>
    </w:p>
    <w:p>
      <w:pPr>
        <w:pStyle w:val="6"/>
        <w:bidi w:val="0"/>
        <w:rPr>
          <w:rFonts w:hint="eastAsia"/>
          <w:lang w:val="en-US" w:eastAsia="zh-CN"/>
        </w:rPr>
      </w:pPr>
      <w:r>
        <w:rPr>
          <w:rFonts w:hint="eastAsia"/>
          <w:lang w:val="en-US" w:eastAsia="zh-CN"/>
        </w:rPr>
        <w:t>8.3.1.4水环境风险受体敏感程度（E）评估</w:t>
      </w:r>
      <w:bookmarkEnd w:id="467"/>
      <w:bookmarkEnd w:id="468"/>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按照水环境风险受体敏感程度，同时考虑河流跨界的情况和可能造成土壤污染的情况，将水环境风险受体敏感程度类型划分为类型1、类型2和类型3，分别以E1、E2和E3表示，见表8.3.1-4。水环境风险受体敏感程度按类型1、类型2和类型3顺序依次降低。若企业周边存在多种敏感程度类型的水环境风险受体，则按敏感程度高者确定企业水环境风险受体敏感程度类型。</w:t>
      </w:r>
    </w:p>
    <w:p>
      <w:pPr>
        <w:pStyle w:val="7"/>
        <w:pageBreakBefore w:val="0"/>
        <w:wordWrap/>
        <w:topLinePunct w:val="0"/>
        <w:bidi w:val="0"/>
        <w:spacing w:line="360" w:lineRule="auto"/>
        <w:ind w:left="0" w:leftChars="0" w:right="0" w:rightChars="0" w:firstLine="0" w:firstLineChars="0"/>
        <w:jc w:val="center"/>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表8.3.1-4   水环境风险受体敏感程度类型划分</w:t>
      </w:r>
    </w:p>
    <w:tbl>
      <w:tblPr>
        <w:tblStyle w:val="21"/>
        <w:tblW w:w="0" w:type="auto"/>
        <w:jc w:val="center"/>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76"/>
        <w:gridCol w:w="7252"/>
      </w:tblGrid>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276" w:type="dxa"/>
            <w:noWrap w:val="0"/>
            <w:vAlign w:val="center"/>
          </w:tcPr>
          <w:p>
            <w:pPr>
              <w:spacing w:line="240" w:lineRule="auto"/>
              <w:ind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敏感程度类型</w:t>
            </w:r>
          </w:p>
        </w:tc>
        <w:tc>
          <w:tcPr>
            <w:tcW w:w="7252" w:type="dxa"/>
            <w:noWrap w:val="0"/>
            <w:vAlign w:val="center"/>
          </w:tcPr>
          <w:p>
            <w:pPr>
              <w:spacing w:line="240" w:lineRule="auto"/>
              <w:ind w:firstLine="0" w:firstLineChars="0"/>
              <w:jc w:val="center"/>
              <w:rPr>
                <w:rFonts w:hint="default" w:ascii="Times New Roman" w:hAnsi="Times New Roman" w:eastAsia="宋体" w:cs="Times New Roman"/>
                <w:szCs w:val="21"/>
              </w:rPr>
            </w:pPr>
            <w:r>
              <w:rPr>
                <w:rFonts w:hint="default" w:ascii="Times New Roman" w:hAnsi="Times New Roman" w:eastAsia="宋体" w:cs="Times New Roman"/>
                <w:szCs w:val="21"/>
              </w:rPr>
              <w:t>水环境风险受体</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276" w:type="dxa"/>
            <w:noWrap w:val="0"/>
            <w:vAlign w:val="center"/>
          </w:tcPr>
          <w:p>
            <w:pPr>
              <w:pStyle w:val="42"/>
              <w:rPr>
                <w:rFonts w:hint="default" w:ascii="Times New Roman" w:hAnsi="Times New Roman" w:eastAsia="宋体" w:cs="Times New Roman"/>
              </w:rPr>
            </w:pPr>
            <w:r>
              <w:rPr>
                <w:rFonts w:hint="default" w:ascii="Times New Roman" w:hAnsi="Times New Roman" w:eastAsia="宋体" w:cs="Times New Roman"/>
              </w:rPr>
              <w:t>类型1</w:t>
            </w:r>
          </w:p>
          <w:p>
            <w:pPr>
              <w:pStyle w:val="42"/>
              <w:rPr>
                <w:rFonts w:hint="default" w:ascii="Times New Roman" w:hAnsi="Times New Roman" w:eastAsia="宋体" w:cs="Times New Roman"/>
              </w:rPr>
            </w:pPr>
            <w:r>
              <w:rPr>
                <w:rFonts w:hint="default" w:ascii="Times New Roman" w:hAnsi="Times New Roman" w:eastAsia="宋体" w:cs="Times New Roman"/>
              </w:rPr>
              <w:t>（E1）</w:t>
            </w:r>
          </w:p>
        </w:tc>
        <w:tc>
          <w:tcPr>
            <w:tcW w:w="7252" w:type="dxa"/>
            <w:noWrap w:val="0"/>
            <w:vAlign w:val="center"/>
          </w:tcPr>
          <w:p>
            <w:pPr>
              <w:pStyle w:val="42"/>
              <w:jc w:val="both"/>
              <w:rPr>
                <w:rFonts w:hint="default" w:ascii="Times New Roman" w:hAnsi="Times New Roman" w:eastAsia="宋体" w:cs="Times New Roman"/>
                <w:lang w:eastAsia="zh-CN"/>
              </w:rPr>
            </w:pPr>
            <w:r>
              <w:rPr>
                <w:rFonts w:hint="default" w:ascii="Times New Roman" w:hAnsi="Times New Roman" w:eastAsia="宋体" w:cs="Times New Roman"/>
                <w:lang w:eastAsia="zh-CN"/>
              </w:rPr>
              <w:t>（1）企业雨水排口、清净废水排口、污水排口下游10公里流经范围内有如下一类或多类环境风险受体：</w:t>
            </w:r>
            <w:r>
              <w:rPr>
                <w:rFonts w:hint="default" w:ascii="Times New Roman" w:hAnsi="Times New Roman" w:eastAsia="宋体" w:cs="Times New Roman"/>
                <w:bCs/>
                <w:lang w:eastAsia="zh-CN"/>
              </w:rPr>
              <w:t>集中式地表水、</w:t>
            </w:r>
            <w:r>
              <w:rPr>
                <w:rFonts w:hint="default" w:ascii="Times New Roman" w:hAnsi="Times New Roman" w:eastAsia="宋体" w:cs="Times New Roman"/>
                <w:lang w:eastAsia="zh-CN"/>
              </w:rPr>
              <w:t>地下水饮用水水源保护区（包括一级保护区、二级保护区及准保护区）；农村及分散式饮用水水源保护区；</w:t>
            </w:r>
          </w:p>
          <w:p>
            <w:pPr>
              <w:pStyle w:val="42"/>
              <w:jc w:val="both"/>
              <w:rPr>
                <w:rFonts w:hint="default" w:ascii="Times New Roman" w:hAnsi="Times New Roman" w:eastAsia="宋体" w:cs="Times New Roman"/>
                <w:lang w:eastAsia="zh-CN"/>
              </w:rPr>
            </w:pPr>
            <w:r>
              <w:rPr>
                <w:rFonts w:hint="default" w:ascii="Times New Roman" w:hAnsi="Times New Roman" w:eastAsia="宋体" w:cs="Times New Roman"/>
                <w:lang w:eastAsia="zh-CN"/>
              </w:rPr>
              <w:t>（2）废水排入受纳水体后24小时流经范围（按受纳河流最大日均流速计算）内涉及跨国界的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276" w:type="dxa"/>
            <w:noWrap w:val="0"/>
            <w:vAlign w:val="center"/>
          </w:tcPr>
          <w:p>
            <w:pPr>
              <w:pStyle w:val="42"/>
              <w:rPr>
                <w:rFonts w:hint="default" w:ascii="Times New Roman" w:hAnsi="Times New Roman" w:eastAsia="宋体" w:cs="Times New Roman"/>
              </w:rPr>
            </w:pPr>
            <w:r>
              <w:rPr>
                <w:rFonts w:hint="default" w:ascii="Times New Roman" w:hAnsi="Times New Roman" w:eastAsia="宋体" w:cs="Times New Roman"/>
              </w:rPr>
              <w:t>类型2</w:t>
            </w:r>
          </w:p>
          <w:p>
            <w:pPr>
              <w:pStyle w:val="42"/>
              <w:rPr>
                <w:rFonts w:hint="default" w:ascii="Times New Roman" w:hAnsi="Times New Roman" w:eastAsia="宋体" w:cs="Times New Roman"/>
              </w:rPr>
            </w:pPr>
            <w:r>
              <w:rPr>
                <w:rFonts w:hint="default" w:ascii="Times New Roman" w:hAnsi="Times New Roman" w:eastAsia="宋体" w:cs="Times New Roman"/>
              </w:rPr>
              <w:t>（E2）</w:t>
            </w:r>
          </w:p>
        </w:tc>
        <w:tc>
          <w:tcPr>
            <w:tcW w:w="7252" w:type="dxa"/>
            <w:noWrap w:val="0"/>
            <w:vAlign w:val="center"/>
          </w:tcPr>
          <w:p>
            <w:pPr>
              <w:pStyle w:val="42"/>
              <w:jc w:val="both"/>
              <w:rPr>
                <w:rFonts w:hint="default" w:ascii="Times New Roman" w:hAnsi="Times New Roman" w:eastAsia="宋体" w:cs="Times New Roman"/>
                <w:lang w:eastAsia="zh-CN"/>
              </w:rPr>
            </w:pPr>
            <w:r>
              <w:rPr>
                <w:rFonts w:hint="default" w:ascii="Times New Roman" w:hAnsi="Times New Roman" w:eastAsia="宋体" w:cs="Times New Roman"/>
                <w:lang w:eastAsia="zh-CN"/>
              </w:rPr>
              <w:t>（1）企业雨水排口、清净废水排口、污水排口下游10公里流经范围内有生态保护红线划定的或具有水生态服务功能的其他水生态环境敏感区和脆弱区，如国家公园，国家级和省级水产种质资源保护区，水产养殖区，天然渔场，海水浴场，盐场保护区，国家重要湿地，国家级和地方级海洋特别保护区，国家级和地方级海洋自然保护区，生物多样性保护优先区域，国家级和地方级自然保护区，国家级和省级风景名胜区，世界文化和自然遗产地，国家级和省级森林公园，世界、国家和省级地质公园，基本农田保护区，基本草原；</w:t>
            </w:r>
          </w:p>
          <w:p>
            <w:pPr>
              <w:pStyle w:val="42"/>
              <w:jc w:val="both"/>
              <w:rPr>
                <w:rFonts w:hint="default" w:ascii="Times New Roman" w:hAnsi="Times New Roman" w:eastAsia="宋体" w:cs="Times New Roman"/>
                <w:lang w:eastAsia="zh-CN"/>
              </w:rPr>
            </w:pPr>
            <w:r>
              <w:rPr>
                <w:rFonts w:hint="default" w:ascii="Times New Roman" w:hAnsi="Times New Roman" w:eastAsia="宋体" w:cs="Times New Roman"/>
                <w:lang w:eastAsia="zh-CN"/>
              </w:rPr>
              <w:t>（2）企业雨水排口、清净废水排口、污水排口下游10公里流经范围内涉及跨省界的；</w:t>
            </w:r>
          </w:p>
          <w:p>
            <w:pPr>
              <w:pStyle w:val="42"/>
              <w:jc w:val="both"/>
              <w:rPr>
                <w:rFonts w:hint="default" w:ascii="Times New Roman" w:hAnsi="Times New Roman" w:eastAsia="宋体" w:cs="Times New Roman"/>
                <w:lang w:eastAsia="zh-CN"/>
              </w:rPr>
            </w:pPr>
            <w:r>
              <w:rPr>
                <w:rFonts w:hint="default" w:ascii="Times New Roman" w:hAnsi="Times New Roman" w:eastAsia="宋体" w:cs="Times New Roman"/>
                <w:lang w:eastAsia="zh-CN"/>
              </w:rPr>
              <w:t>（3）企业位于溶岩地貌、泄洪区、泥石流多发等地区</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276" w:type="dxa"/>
            <w:noWrap w:val="0"/>
            <w:vAlign w:val="center"/>
          </w:tcPr>
          <w:p>
            <w:pPr>
              <w:pStyle w:val="42"/>
              <w:rPr>
                <w:rFonts w:hint="default" w:ascii="Times New Roman" w:hAnsi="Times New Roman" w:eastAsia="宋体" w:cs="Times New Roman"/>
              </w:rPr>
            </w:pPr>
            <w:r>
              <w:rPr>
                <w:rFonts w:hint="default" w:ascii="Times New Roman" w:hAnsi="Times New Roman" w:eastAsia="宋体" w:cs="Times New Roman"/>
              </w:rPr>
              <w:t>类型3</w:t>
            </w:r>
          </w:p>
          <w:p>
            <w:pPr>
              <w:pStyle w:val="42"/>
              <w:rPr>
                <w:rFonts w:hint="default" w:ascii="Times New Roman" w:hAnsi="Times New Roman" w:eastAsia="宋体" w:cs="Times New Roman"/>
              </w:rPr>
            </w:pPr>
            <w:r>
              <w:rPr>
                <w:rFonts w:hint="default" w:ascii="Times New Roman" w:hAnsi="Times New Roman" w:eastAsia="宋体" w:cs="Times New Roman"/>
              </w:rPr>
              <w:t>（E3）</w:t>
            </w:r>
          </w:p>
        </w:tc>
        <w:tc>
          <w:tcPr>
            <w:tcW w:w="7252" w:type="dxa"/>
            <w:noWrap w:val="0"/>
            <w:vAlign w:val="center"/>
          </w:tcPr>
          <w:p>
            <w:pPr>
              <w:pStyle w:val="42"/>
              <w:jc w:val="left"/>
              <w:rPr>
                <w:rFonts w:hint="default" w:ascii="Times New Roman" w:hAnsi="Times New Roman" w:eastAsia="宋体" w:cs="Times New Roman"/>
                <w:lang w:val="en-US" w:eastAsia="zh-CN"/>
              </w:rPr>
            </w:pPr>
            <w:r>
              <w:rPr>
                <w:rFonts w:hint="eastAsia" w:ascii="Times New Roman" w:hAnsi="Times New Roman" w:eastAsia="宋体" w:cs="Times New Roman"/>
                <w:lang w:val="en-US" w:eastAsia="zh-CN"/>
              </w:rPr>
              <w:t>不涉及E1和E2的。</w:t>
            </w:r>
          </w:p>
        </w:tc>
      </w:tr>
      <w:tr>
        <w:tblPrEx>
          <w:tblBorders>
            <w:top w:val="single" w:color="auto" w:sz="12" w:space="0"/>
            <w:left w:val="dotted" w:color="auto" w:sz="4" w:space="0"/>
            <w:bottom w:val="single" w:color="auto" w:sz="12"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0" w:hRule="atLeast"/>
          <w:jc w:val="center"/>
        </w:trPr>
        <w:tc>
          <w:tcPr>
            <w:tcW w:w="1276" w:type="dxa"/>
            <w:noWrap w:val="0"/>
            <w:vAlign w:val="center"/>
          </w:tcPr>
          <w:p>
            <w:pPr>
              <w:pStyle w:val="42"/>
              <w:rPr>
                <w:rFonts w:hint="default" w:ascii="Times New Roman" w:hAnsi="Times New Roman" w:eastAsia="宋体" w:cs="Times New Roman"/>
                <w:b/>
              </w:rPr>
            </w:pPr>
            <w:r>
              <w:rPr>
                <w:rFonts w:hint="default" w:ascii="Times New Roman" w:hAnsi="Times New Roman" w:eastAsia="宋体" w:cs="Times New Roman"/>
                <w:b/>
              </w:rPr>
              <w:t>类型判定</w:t>
            </w:r>
          </w:p>
        </w:tc>
        <w:tc>
          <w:tcPr>
            <w:tcW w:w="7252" w:type="dxa"/>
            <w:noWrap w:val="0"/>
            <w:vAlign w:val="center"/>
          </w:tcPr>
          <w:p>
            <w:pPr>
              <w:pStyle w:val="42"/>
              <w:rPr>
                <w:rFonts w:hint="eastAsia" w:ascii="Times New Roman" w:hAnsi="Times New Roman" w:eastAsia="宋体" w:cs="Times New Roman"/>
                <w:b/>
                <w:lang w:val="en-US" w:eastAsia="zh-CN"/>
              </w:rPr>
            </w:pPr>
            <w:r>
              <w:rPr>
                <w:rFonts w:hint="default" w:ascii="Times New Roman" w:hAnsi="Times New Roman" w:eastAsia="宋体" w:cs="Times New Roman"/>
                <w:b/>
              </w:rPr>
              <w:t>E</w:t>
            </w:r>
            <w:r>
              <w:rPr>
                <w:rFonts w:hint="eastAsia" w:ascii="Times New Roman" w:hAnsi="Times New Roman" w:eastAsia="宋体" w:cs="Times New Roman"/>
                <w:b/>
                <w:lang w:val="en-US" w:eastAsia="zh-CN"/>
              </w:rPr>
              <w:t>3</w:t>
            </w:r>
          </w:p>
        </w:tc>
      </w:tr>
    </w:tbl>
    <w:p>
      <w:pPr>
        <w:pStyle w:val="5"/>
        <w:bidi w:val="0"/>
        <w:rPr>
          <w:rFonts w:hint="eastAsia"/>
          <w:lang w:val="en-US" w:eastAsia="zh-CN"/>
        </w:rPr>
      </w:pPr>
      <w:bookmarkStart w:id="469" w:name="_Toc25301"/>
      <w:bookmarkStart w:id="470" w:name="_Toc13801"/>
      <w:r>
        <w:rPr>
          <w:rFonts w:hint="eastAsia"/>
          <w:lang w:val="en-US" w:eastAsia="zh-CN"/>
        </w:rPr>
        <w:t>8.3.2突发水环境事件风险等级确定</w:t>
      </w:r>
      <w:bookmarkEnd w:id="469"/>
      <w:bookmarkEnd w:id="470"/>
    </w:p>
    <w:p>
      <w:pPr>
        <w:spacing w:line="500" w:lineRule="exact"/>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根据水环境风险受体敏感程度（E）、涉水风险物质数量与临界量比值（Q）和公司生产工艺过程与环境风险控制水平（M）按照表8.3.1.5确定企业突发水环境事件风险等级。</w:t>
      </w:r>
    </w:p>
    <w:p>
      <w:pPr>
        <w:pStyle w:val="7"/>
        <w:pageBreakBefore w:val="0"/>
        <w:wordWrap/>
        <w:topLinePunct w:val="0"/>
        <w:bidi w:val="0"/>
        <w:spacing w:line="360" w:lineRule="auto"/>
        <w:ind w:left="0" w:leftChars="0" w:right="0" w:rightChars="0" w:firstLine="0" w:firstLineChars="0"/>
        <w:jc w:val="center"/>
        <w:rPr>
          <w:rFonts w:hint="eastAsia" w:ascii="Times New Roman" w:hAnsi="Times New Roman" w:eastAsia="黑体" w:cs="Times New Roman"/>
          <w:color w:val="auto"/>
          <w:sz w:val="21"/>
          <w:szCs w:val="21"/>
          <w:highlight w:val="none"/>
          <w:lang w:val="en-US" w:eastAsia="zh-CN"/>
        </w:rPr>
      </w:pPr>
      <w:r>
        <w:rPr>
          <w:rFonts w:hint="eastAsia" w:ascii="Times New Roman" w:hAnsi="Times New Roman" w:eastAsia="黑体" w:cs="Times New Roman"/>
          <w:color w:val="auto"/>
          <w:sz w:val="21"/>
          <w:szCs w:val="21"/>
          <w:highlight w:val="none"/>
          <w:lang w:val="en-US" w:eastAsia="zh-CN"/>
        </w:rPr>
        <w:t>表8.3.1-5  企业突发环境事件风险分级矩阵表</w:t>
      </w:r>
    </w:p>
    <w:tbl>
      <w:tblPr>
        <w:tblStyle w:val="21"/>
        <w:tblW w:w="4998" w:type="pct"/>
        <w:jc w:val="center"/>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Layout w:type="autofit"/>
        <w:tblCellMar>
          <w:top w:w="0" w:type="dxa"/>
          <w:left w:w="0" w:type="dxa"/>
          <w:bottom w:w="0" w:type="dxa"/>
          <w:right w:w="0" w:type="dxa"/>
        </w:tblCellMar>
      </w:tblPr>
      <w:tblGrid>
        <w:gridCol w:w="1567"/>
        <w:gridCol w:w="1777"/>
        <w:gridCol w:w="1357"/>
        <w:gridCol w:w="1163"/>
        <w:gridCol w:w="1193"/>
        <w:gridCol w:w="1246"/>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9" w:hRule="atLeast"/>
          <w:jc w:val="center"/>
        </w:trPr>
        <w:tc>
          <w:tcPr>
            <w:tcW w:w="944" w:type="pct"/>
            <w:vMerge w:val="restar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环境风险受体敏感程度（E）</w:t>
            </w:r>
          </w:p>
        </w:tc>
        <w:tc>
          <w:tcPr>
            <w:tcW w:w="1070" w:type="pct"/>
            <w:vMerge w:val="restar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风险物质数量与临界量比值（Q）</w:t>
            </w:r>
          </w:p>
        </w:tc>
        <w:tc>
          <w:tcPr>
            <w:tcW w:w="2985" w:type="pct"/>
            <w:gridSpan w:val="4"/>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生产工艺过程与环境风险控制水平（M）</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944" w:type="pct"/>
            <w:vMerge w:val="continue"/>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070" w:type="pct"/>
            <w:vMerge w:val="continue"/>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M1 类水平</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M2 类水平</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M3 类水平</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M4 类水平</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944" w:type="pct"/>
            <w:vMerge w:val="restar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类型1</w:t>
            </w:r>
          </w:p>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（E1）</w:t>
            </w:r>
          </w:p>
        </w:tc>
        <w:tc>
          <w:tcPr>
            <w:tcW w:w="107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 Q＜10（Q1）</w:t>
            </w: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944" w:type="pct"/>
            <w:vMerge w:val="continue"/>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07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10≤ Q＜100（Q2）</w:t>
            </w: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9" w:hRule="atLeast"/>
          <w:jc w:val="center"/>
        </w:trPr>
        <w:tc>
          <w:tcPr>
            <w:tcW w:w="944" w:type="pct"/>
            <w:vMerge w:val="continue"/>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07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Q≥ 100（Q3）</w:t>
            </w: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944" w:type="pct"/>
            <w:vMerge w:val="restar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类型2</w:t>
            </w:r>
          </w:p>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（E2）</w:t>
            </w:r>
          </w:p>
        </w:tc>
        <w:tc>
          <w:tcPr>
            <w:tcW w:w="107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 Q＜10（Q1）</w:t>
            </w: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一般</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944" w:type="pct"/>
            <w:vMerge w:val="continue"/>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07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10≤ Q＜100（Q2）</w:t>
            </w: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8" w:hRule="atLeast"/>
          <w:jc w:val="center"/>
        </w:trPr>
        <w:tc>
          <w:tcPr>
            <w:tcW w:w="944" w:type="pct"/>
            <w:vMerge w:val="continue"/>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07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Q≥ 100（Q3）</w:t>
            </w: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3" w:hRule="atLeast"/>
          <w:jc w:val="center"/>
        </w:trPr>
        <w:tc>
          <w:tcPr>
            <w:tcW w:w="944" w:type="pct"/>
            <w:vMerge w:val="restar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类型3</w:t>
            </w:r>
          </w:p>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（E3）</w:t>
            </w:r>
          </w:p>
        </w:tc>
        <w:tc>
          <w:tcPr>
            <w:tcW w:w="107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 Q＜10（Q1）</w:t>
            </w: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一般</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一般</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59" w:hRule="atLeast"/>
          <w:jc w:val="center"/>
        </w:trPr>
        <w:tc>
          <w:tcPr>
            <w:tcW w:w="944" w:type="pct"/>
            <w:vMerge w:val="continue"/>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07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10≤ Q＜100（Q2）</w:t>
            </w: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一般</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63" w:hRule="atLeast"/>
          <w:jc w:val="center"/>
        </w:trPr>
        <w:tc>
          <w:tcPr>
            <w:tcW w:w="944" w:type="pct"/>
            <w:vMerge w:val="continue"/>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p>
        </w:tc>
        <w:tc>
          <w:tcPr>
            <w:tcW w:w="107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Q≥ 100（Q3）</w:t>
            </w:r>
          </w:p>
        </w:tc>
        <w:tc>
          <w:tcPr>
            <w:tcW w:w="817"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较大</w:t>
            </w:r>
          </w:p>
        </w:tc>
        <w:tc>
          <w:tcPr>
            <w:tcW w:w="700"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FF0000"/>
                <w:sz w:val="21"/>
                <w:szCs w:val="21"/>
                <w:highlight w:val="none"/>
                <w:lang w:val="en-US" w:eastAsia="en-US"/>
              </w:rPr>
              <w:t>较大</w:t>
            </w:r>
          </w:p>
        </w:tc>
        <w:tc>
          <w:tcPr>
            <w:tcW w:w="71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c>
          <w:tcPr>
            <w:tcW w:w="748" w:type="pct"/>
            <w:tcBorders>
              <w:tl2br w:val="nil"/>
              <w:tr2bl w:val="nil"/>
            </w:tcBorders>
            <w:noWrap w:val="0"/>
            <w:vAlign w:val="center"/>
          </w:tcPr>
          <w:p>
            <w:pPr>
              <w:pageBreakBefore w:val="0"/>
              <w:wordWrap/>
              <w:topLinePunct w:val="0"/>
              <w:bidi w:val="0"/>
              <w:adjustRightInd w:val="0"/>
              <w:snapToGrid w:val="0"/>
              <w:spacing w:line="360" w:lineRule="auto"/>
              <w:ind w:left="0" w:leftChars="0" w:right="0" w:rightChars="0"/>
              <w:jc w:val="center"/>
              <w:rPr>
                <w:rFonts w:hint="eastAsia" w:ascii="Times New Roman" w:hAnsi="Times New Roman" w:eastAsia="宋体" w:cs="Times New Roman"/>
                <w:color w:val="auto"/>
                <w:sz w:val="21"/>
                <w:szCs w:val="21"/>
                <w:highlight w:val="none"/>
                <w:lang w:val="en-US" w:eastAsia="en-US"/>
              </w:rPr>
            </w:pPr>
            <w:r>
              <w:rPr>
                <w:rFonts w:hint="eastAsia" w:ascii="Times New Roman" w:hAnsi="Times New Roman" w:eastAsia="宋体" w:cs="Times New Roman"/>
                <w:color w:val="auto"/>
                <w:sz w:val="21"/>
                <w:szCs w:val="21"/>
                <w:highlight w:val="none"/>
                <w:lang w:val="en-US" w:eastAsia="en-US"/>
              </w:rPr>
              <w:t>重大</w:t>
            </w:r>
          </w:p>
        </w:tc>
      </w:tr>
    </w:tbl>
    <w:p>
      <w:pPr>
        <w:pageBreakBefore w:val="0"/>
        <w:wordWrap/>
        <w:topLinePunct w:val="0"/>
        <w:autoSpaceDE/>
        <w:autoSpaceDN/>
        <w:bidi w:val="0"/>
        <w:adjustRightInd w:val="0"/>
        <w:spacing w:line="360" w:lineRule="auto"/>
        <w:ind w:left="0" w:leftChars="0" w:right="0" w:rightChars="0" w:firstLine="480" w:firstLineChars="200"/>
        <w:jc w:val="both"/>
        <w:rPr>
          <w:rFonts w:hint="eastAsia" w:ascii="Times New Roman" w:hAnsi="Times New Roman" w:eastAsia="宋体" w:cs="Times New Roman"/>
          <w:color w:val="auto"/>
          <w:kern w:val="2"/>
          <w:szCs w:val="24"/>
          <w:highlight w:val="none"/>
          <w:lang w:val="en-US" w:eastAsia="zh-CN" w:bidi="ar-SA"/>
        </w:rPr>
      </w:pPr>
      <w:r>
        <w:rPr>
          <w:rFonts w:hint="eastAsia" w:ascii="Times New Roman" w:hAnsi="Times New Roman" w:eastAsia="宋体" w:cs="Times New Roman"/>
          <w:color w:val="auto"/>
          <w:sz w:val="24"/>
          <w:lang w:val="en-US" w:eastAsia="zh-CN"/>
        </w:rPr>
        <w:t>综上，</w:t>
      </w:r>
      <w:r>
        <w:rPr>
          <w:rFonts w:hint="eastAsia" w:ascii="Times New Roman" w:hAnsi="Times New Roman" w:cs="Times New Roman"/>
          <w:color w:val="auto"/>
          <w:sz w:val="24"/>
          <w:lang w:val="en-US" w:eastAsia="zh-CN"/>
        </w:rPr>
        <w:t>中国石油天然气股份有限公司呼和浩特石化分公司</w:t>
      </w:r>
      <w:r>
        <w:rPr>
          <w:rFonts w:hint="eastAsia" w:ascii="Times New Roman" w:hAnsi="Times New Roman" w:eastAsia="宋体" w:cs="Times New Roman"/>
          <w:color w:val="auto"/>
          <w:sz w:val="24"/>
          <w:lang w:val="en-US" w:eastAsia="zh-CN"/>
        </w:rPr>
        <w:t>突发水环境事件风险等级为“</w:t>
      </w:r>
      <w:r>
        <w:rPr>
          <w:rFonts w:hint="eastAsia" w:ascii="Times New Roman" w:hAnsi="Times New Roman" w:cs="Times New Roman"/>
          <w:color w:val="auto"/>
          <w:sz w:val="24"/>
          <w:lang w:val="en-US" w:eastAsia="zh-CN"/>
        </w:rPr>
        <w:t>较</w:t>
      </w:r>
      <w:r>
        <w:rPr>
          <w:rFonts w:hint="eastAsia" w:ascii="Times New Roman" w:hAnsi="Times New Roman" w:eastAsia="宋体" w:cs="Times New Roman"/>
          <w:color w:val="auto"/>
          <w:sz w:val="24"/>
          <w:lang w:val="en-US" w:eastAsia="zh-CN"/>
        </w:rPr>
        <w:t>大-水（Q3-M</w:t>
      </w:r>
      <w:r>
        <w:rPr>
          <w:rFonts w:hint="eastAsia" w:ascii="Times New Roman" w:hAnsi="Times New Roman" w:cs="Times New Roman"/>
          <w:color w:val="auto"/>
          <w:sz w:val="24"/>
          <w:lang w:val="en-US" w:eastAsia="zh-CN"/>
        </w:rPr>
        <w:t>2</w:t>
      </w:r>
      <w:r>
        <w:rPr>
          <w:rFonts w:hint="eastAsia" w:ascii="Times New Roman" w:hAnsi="Times New Roman" w:eastAsia="宋体" w:cs="Times New Roman"/>
          <w:color w:val="auto"/>
          <w:sz w:val="24"/>
          <w:lang w:val="en-US" w:eastAsia="zh-CN"/>
        </w:rPr>
        <w:t>-E</w:t>
      </w:r>
      <w:r>
        <w:rPr>
          <w:rFonts w:hint="eastAsia" w:ascii="Times New Roman" w:hAnsi="Times New Roman" w:cs="Times New Roman"/>
          <w:color w:val="auto"/>
          <w:sz w:val="24"/>
          <w:lang w:val="en-US" w:eastAsia="zh-CN"/>
        </w:rPr>
        <w:t>3</w:t>
      </w:r>
      <w:r>
        <w:rPr>
          <w:rFonts w:hint="eastAsia" w:ascii="Times New Roman" w:hAnsi="Times New Roman" w:eastAsia="宋体" w:cs="Times New Roman"/>
          <w:color w:val="auto"/>
          <w:sz w:val="24"/>
          <w:lang w:val="en-US" w:eastAsia="zh-CN"/>
        </w:rPr>
        <w:t>）”</w:t>
      </w:r>
      <w:r>
        <w:rPr>
          <w:rFonts w:hint="eastAsia" w:ascii="Times New Roman" w:hAnsi="Times New Roman" w:eastAsia="宋体" w:cs="Times New Roman"/>
          <w:color w:val="auto"/>
          <w:kern w:val="2"/>
          <w:szCs w:val="24"/>
          <w:highlight w:val="none"/>
          <w:lang w:val="en-US" w:eastAsia="zh-CN" w:bidi="ar-SA"/>
        </w:rPr>
        <w:t>。</w:t>
      </w:r>
    </w:p>
    <w:p>
      <w:pPr>
        <w:pStyle w:val="4"/>
        <w:bidi w:val="0"/>
        <w:rPr>
          <w:rFonts w:hint="default"/>
          <w:lang w:val="en-US" w:eastAsia="zh-CN"/>
        </w:rPr>
      </w:pPr>
      <w:bookmarkStart w:id="471" w:name="bookmark153"/>
      <w:bookmarkEnd w:id="471"/>
      <w:bookmarkStart w:id="472" w:name="_Toc27593001"/>
      <w:bookmarkStart w:id="473" w:name="_Toc20906"/>
      <w:bookmarkStart w:id="474" w:name="_Toc4529"/>
      <w:bookmarkStart w:id="475" w:name="_Toc27836"/>
      <w:r>
        <w:rPr>
          <w:rFonts w:hint="eastAsia"/>
          <w:lang w:val="en-US" w:eastAsia="zh-CN"/>
        </w:rPr>
        <w:t>8.4</w:t>
      </w:r>
      <w:r>
        <w:rPr>
          <w:rFonts w:hint="default"/>
          <w:lang w:val="en-US" w:eastAsia="zh-CN"/>
        </w:rPr>
        <w:t>企业突发环境事件风险等级确定</w:t>
      </w:r>
      <w:bookmarkEnd w:id="472"/>
      <w:bookmarkEnd w:id="473"/>
      <w:bookmarkEnd w:id="474"/>
      <w:bookmarkEnd w:id="475"/>
    </w:p>
    <w:p>
      <w:pPr>
        <w:pageBreakBefore w:val="0"/>
        <w:wordWrap/>
        <w:topLinePunct w:val="0"/>
        <w:autoSpaceDE/>
        <w:autoSpaceDN/>
        <w:bidi w:val="0"/>
        <w:adjustRightInd w:val="0"/>
        <w:spacing w:line="360" w:lineRule="auto"/>
        <w:ind w:left="0" w:leftChars="0" w:right="0" w:rightChars="0" w:firstLine="480" w:firstLineChars="200"/>
        <w:jc w:val="both"/>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根据以上内容，</w:t>
      </w:r>
      <w:r>
        <w:rPr>
          <w:rFonts w:hint="eastAsia" w:ascii="Times New Roman" w:hAnsi="Times New Roman" w:cs="Times New Roman"/>
          <w:color w:val="auto"/>
          <w:sz w:val="24"/>
          <w:lang w:val="en-US" w:eastAsia="zh-CN"/>
        </w:rPr>
        <w:t>中国石油天然气股份有限公司呼和浩特石化分公司</w:t>
      </w:r>
      <w:r>
        <w:rPr>
          <w:rFonts w:hint="eastAsia" w:ascii="Times New Roman" w:hAnsi="Times New Roman" w:eastAsia="宋体" w:cs="Times New Roman"/>
          <w:color w:val="auto"/>
          <w:sz w:val="24"/>
          <w:lang w:val="en-US" w:eastAsia="zh-CN"/>
        </w:rPr>
        <w:t>Q值范围为Q&gt;100，大气环境生产工艺过程与环境风险控制水平为M</w:t>
      </w:r>
      <w:r>
        <w:rPr>
          <w:rFonts w:hint="eastAsia" w:ascii="Times New Roman" w:hAnsi="Times New Roman" w:cs="Times New Roman"/>
          <w:color w:val="auto"/>
          <w:sz w:val="24"/>
          <w:lang w:val="en-US" w:eastAsia="zh-CN"/>
        </w:rPr>
        <w:t>3</w:t>
      </w:r>
      <w:r>
        <w:rPr>
          <w:rFonts w:hint="eastAsia" w:ascii="Times New Roman" w:hAnsi="Times New Roman" w:eastAsia="宋体" w:cs="Times New Roman"/>
          <w:color w:val="auto"/>
          <w:sz w:val="24"/>
          <w:lang w:val="en-US" w:eastAsia="zh-CN"/>
        </w:rPr>
        <w:t>类，水环境生产工艺过程与环境风险控制水平为M</w:t>
      </w:r>
      <w:r>
        <w:rPr>
          <w:rFonts w:hint="eastAsia" w:ascii="Times New Roman" w:hAnsi="Times New Roman" w:cs="Times New Roman"/>
          <w:color w:val="auto"/>
          <w:sz w:val="24"/>
          <w:lang w:val="en-US" w:eastAsia="zh-CN"/>
        </w:rPr>
        <w:t>2</w:t>
      </w:r>
      <w:r>
        <w:rPr>
          <w:rFonts w:hint="eastAsia" w:ascii="Times New Roman" w:hAnsi="Times New Roman" w:eastAsia="宋体" w:cs="Times New Roman"/>
          <w:color w:val="auto"/>
          <w:sz w:val="24"/>
          <w:lang w:val="en-US" w:eastAsia="zh-CN"/>
        </w:rPr>
        <w:t>类，大气环境风险受体敏感程度为E1，水环境风险受体敏感程度为E</w:t>
      </w:r>
      <w:r>
        <w:rPr>
          <w:rFonts w:hint="eastAsia" w:ascii="Times New Roman" w:hAnsi="Times New Roman" w:cs="Times New Roman"/>
          <w:color w:val="auto"/>
          <w:sz w:val="24"/>
          <w:lang w:val="en-US" w:eastAsia="zh-CN"/>
        </w:rPr>
        <w:t>3</w:t>
      </w:r>
      <w:r>
        <w:rPr>
          <w:rFonts w:hint="eastAsia" w:ascii="Times New Roman" w:hAnsi="Times New Roman" w:eastAsia="宋体" w:cs="Times New Roman"/>
          <w:color w:val="auto"/>
          <w:sz w:val="24"/>
          <w:lang w:val="en-US" w:eastAsia="zh-CN"/>
        </w:rPr>
        <w:t>，因此综合评定，</w:t>
      </w:r>
      <w:r>
        <w:rPr>
          <w:rFonts w:hint="eastAsia" w:ascii="Times New Roman" w:hAnsi="Times New Roman" w:cs="Times New Roman"/>
          <w:color w:val="auto"/>
          <w:sz w:val="24"/>
          <w:lang w:val="en-US" w:eastAsia="zh-CN"/>
        </w:rPr>
        <w:t>中国石油天然气股份有限公司呼和浩特石化分公司</w:t>
      </w:r>
      <w:r>
        <w:rPr>
          <w:rFonts w:hint="eastAsia" w:ascii="Times New Roman" w:hAnsi="Times New Roman" w:eastAsia="宋体" w:cs="Times New Roman"/>
          <w:color w:val="auto"/>
          <w:sz w:val="24"/>
          <w:lang w:val="en-US" w:eastAsia="zh-CN"/>
        </w:rPr>
        <w:t>环境风险等级可表示为“重大[重大-大气（Q3-M</w:t>
      </w:r>
      <w:r>
        <w:rPr>
          <w:rFonts w:hint="eastAsia" w:ascii="Times New Roman" w:hAnsi="Times New Roman" w:cs="Times New Roman"/>
          <w:color w:val="auto"/>
          <w:sz w:val="24"/>
          <w:lang w:val="en-US" w:eastAsia="zh-CN"/>
        </w:rPr>
        <w:t>3</w:t>
      </w:r>
      <w:r>
        <w:rPr>
          <w:rFonts w:hint="eastAsia" w:ascii="Times New Roman" w:hAnsi="Times New Roman" w:eastAsia="宋体" w:cs="Times New Roman"/>
          <w:color w:val="auto"/>
          <w:sz w:val="24"/>
          <w:lang w:val="en-US" w:eastAsia="zh-CN"/>
        </w:rPr>
        <w:t>-E1）+</w:t>
      </w:r>
      <w:r>
        <w:rPr>
          <w:rFonts w:hint="eastAsia" w:ascii="Times New Roman" w:hAnsi="Times New Roman" w:cs="Times New Roman"/>
          <w:color w:val="auto"/>
          <w:sz w:val="24"/>
          <w:lang w:val="en-US" w:eastAsia="zh-CN"/>
        </w:rPr>
        <w:t>较</w:t>
      </w:r>
      <w:r>
        <w:rPr>
          <w:rFonts w:hint="eastAsia" w:ascii="Times New Roman" w:hAnsi="Times New Roman" w:eastAsia="宋体" w:cs="Times New Roman"/>
          <w:color w:val="auto"/>
          <w:sz w:val="24"/>
          <w:lang w:val="en-US" w:eastAsia="zh-CN"/>
        </w:rPr>
        <w:t>大-水（Q3-M</w:t>
      </w:r>
      <w:r>
        <w:rPr>
          <w:rFonts w:hint="eastAsia" w:ascii="Times New Roman" w:hAnsi="Times New Roman" w:cs="Times New Roman"/>
          <w:color w:val="auto"/>
          <w:sz w:val="24"/>
          <w:lang w:val="en-US" w:eastAsia="zh-CN"/>
        </w:rPr>
        <w:t>2</w:t>
      </w:r>
      <w:r>
        <w:rPr>
          <w:rFonts w:hint="eastAsia" w:ascii="Times New Roman" w:hAnsi="Times New Roman" w:eastAsia="宋体" w:cs="Times New Roman"/>
          <w:color w:val="auto"/>
          <w:sz w:val="24"/>
          <w:lang w:val="en-US" w:eastAsia="zh-CN"/>
        </w:rPr>
        <w:t>-E</w:t>
      </w:r>
      <w:r>
        <w:rPr>
          <w:rFonts w:hint="eastAsia" w:ascii="Times New Roman" w:hAnsi="Times New Roman" w:cs="Times New Roman"/>
          <w:color w:val="auto"/>
          <w:sz w:val="24"/>
          <w:lang w:val="en-US" w:eastAsia="zh-CN"/>
        </w:rPr>
        <w:t>3</w:t>
      </w:r>
      <w:r>
        <w:rPr>
          <w:rFonts w:hint="eastAsia" w:ascii="Times New Roman" w:hAnsi="Times New Roman" w:eastAsia="宋体" w:cs="Times New Roman"/>
          <w:color w:val="auto"/>
          <w:sz w:val="24"/>
          <w:lang w:val="en-US" w:eastAsia="zh-CN"/>
        </w:rPr>
        <w:t>）]”。</w:t>
      </w:r>
    </w:p>
    <w:p>
      <w:pPr>
        <w:pageBreakBefore w:val="0"/>
        <w:wordWrap/>
        <w:topLinePunct w:val="0"/>
        <w:autoSpaceDE/>
        <w:autoSpaceDN/>
        <w:bidi w:val="0"/>
        <w:adjustRightInd w:val="0"/>
        <w:spacing w:line="360" w:lineRule="auto"/>
        <w:ind w:left="0" w:leftChars="0" w:right="0" w:rightChars="0" w:firstLine="420" w:firstLineChars="200"/>
        <w:jc w:val="both"/>
        <w:rPr>
          <w:rFonts w:hint="default" w:ascii="Times New Roman" w:hAnsi="Times New Roman" w:cs="Times New Roman"/>
          <w:color w:val="auto"/>
          <w:highlight w:val="none"/>
          <w:lang w:val="en-US" w:eastAsia="zh-CN"/>
        </w:rPr>
      </w:pPr>
    </w:p>
    <w:p>
      <w:pPr>
        <w:spacing w:line="500" w:lineRule="exact"/>
        <w:ind w:firstLine="480" w:firstLineChars="200"/>
        <w:rPr>
          <w:rFonts w:hint="eastAsia" w:ascii="Times New Roman" w:hAnsi="Times New Roman" w:eastAsia="宋体" w:cs="Times New Roman"/>
          <w:color w:val="auto"/>
          <w:sz w:val="24"/>
          <w:lang w:val="en-US" w:eastAsia="zh-CN"/>
        </w:rPr>
      </w:pPr>
    </w:p>
    <w:p/>
    <w:sectPr>
      <w:headerReference r:id="rId5" w:type="default"/>
      <w:footerReference r:id="rId6" w:type="default"/>
      <w:pgSz w:w="11906" w:h="16838"/>
      <w:pgMar w:top="1440" w:right="1800" w:bottom="1440" w:left="1800" w:header="851" w:footer="992" w:gutter="0"/>
      <w:pgBorders w:offsetFrom="page">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
    <w:altName w:val="黑体"/>
    <w:panose1 w:val="00000000000000000000"/>
    <w:charset w:val="86"/>
    <w:family w:val="modern"/>
    <w:pitch w:val="default"/>
    <w:sig w:usb0="00000000" w:usb1="00000000" w:usb2="00000010" w:usb3="00000000" w:csb0="00040000" w:csb1="00000000"/>
  </w:font>
  <w:font w:name="Verdana">
    <w:panose1 w:val="020B0604030504040204"/>
    <w:charset w:val="00"/>
    <w:family w:val="swiss"/>
    <w:pitch w:val="default"/>
    <w:sig w:usb0="A00006FF" w:usb1="4000205B" w:usb2="0000001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single" w:color="auto" w:sz="4" w:space="0"/>
      </w:pBdr>
      <w:rPr>
        <w:rFonts w:hint="default"/>
        <w:sz w:val="18"/>
        <w:szCs w:val="18"/>
        <w:lang w:val="en-US"/>
      </w:rPr>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3"/>
                          </w:pPr>
                          <w:r>
                            <w:t xml:space="preserve">第 </w:t>
                          </w:r>
                          <w:r>
                            <w:fldChar w:fldCharType="begin"/>
                          </w:r>
                          <w:r>
                            <w:instrText xml:space="preserve"> PAGE  \* MERGEFORMAT </w:instrText>
                          </w:r>
                          <w:r>
                            <w:fldChar w:fldCharType="separate"/>
                          </w:r>
                          <w:r>
                            <w:t>1</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KL+z8gBAACZ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aDEcYsDv/z8cfn15/L7O1lm&#10;efoANWbdB8xLwzs/5NTJD+jMrAcVbf4iH4JxFPd8FVcOiYj8aL1arysMCYzNF8RhD89DhPReekuy&#10;0dCI0yui8tNHSGPqnJKrOX+njUE/r437x4GY2cNy72OP2UrDfpga3/v2jHx6HHxDHe45JeaDQ13z&#10;jsxGnI39bBxD1IeuLFGuB+H2mLCJ0luuMMJOhXFihd20XXklHt9L1sMftf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Si/s/IAQAAmQMAAA4AAAAAAAAAAQAgAAAAHgEAAGRycy9lMm9Eb2Mu&#10;eG1sUEsFBgAAAAAGAAYAWQEAAFgFAAAAAA==&#10;">
              <v:fill on="f" focussize="0,0"/>
              <v:stroke on="f"/>
              <v:imagedata o:title=""/>
              <o:lock v:ext="edit" aspectratio="f"/>
              <v:textbox inset="0mm,0mm,0mm,0mm" style="mso-fit-shape-to-text:t;">
                <w:txbxContent>
                  <w:p>
                    <w:pPr>
                      <w:pStyle w:val="13"/>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r>
      <w:rPr>
        <w:rFonts w:hint="eastAsia" w:ascii="宋体" w:hAnsi="宋体" w:cs="宋体"/>
        <w:sz w:val="18"/>
        <w:szCs w:val="18"/>
        <w:lang w:val="en-US" w:eastAsia="zh-CN"/>
      </w:rPr>
      <w:t>中国石油天然气股份有限公司呼和浩特石化分公司</w:t>
    </w:r>
    <w:r>
      <w:rPr>
        <w:rFonts w:hint="eastAsia" w:ascii="宋体" w:hAnsi="宋体" w:eastAsia="宋体" w:cs="宋体"/>
        <w:sz w:val="18"/>
        <w:szCs w:val="18"/>
        <w:lang w:val="en-US" w:eastAsia="zh-CN"/>
      </w:rPr>
      <w:t xml:space="preserve"> 编制</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top w:val="single" w:color="auto" w:sz="4" w:space="0"/>
      </w:pBdr>
      <w:rPr>
        <w:rFonts w:hint="eastAsia" w:eastAsia="宋体"/>
        <w:sz w:val="18"/>
        <w:szCs w:val="18"/>
        <w:lang w:val="en-US" w:eastAsia="zh-CN"/>
      </w:rPr>
    </w:pPr>
    <w:r>
      <w:rPr>
        <w:sz w:val="18"/>
        <w:szCs w:val="18"/>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3"/>
                          </w:pPr>
                          <w:r>
                            <w:t xml:space="preserve">第 </w:t>
                          </w:r>
                          <w:r>
                            <w:fldChar w:fldCharType="begin"/>
                          </w:r>
                          <w:r>
                            <w:instrText xml:space="preserve"> PAGE  \* MERGEFORMAT </w:instrText>
                          </w:r>
                          <w:r>
                            <w:fldChar w:fldCharType="separate"/>
                          </w:r>
                          <w:r>
                            <w:t>4</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pPr>
                      <w:pStyle w:val="13"/>
                    </w:pPr>
                    <w:r>
                      <w:t xml:space="preserve">第 </w:t>
                    </w:r>
                    <w:r>
                      <w:fldChar w:fldCharType="begin"/>
                    </w:r>
                    <w:r>
                      <w:instrText xml:space="preserve"> PAGE  \* MERGEFORMAT </w:instrText>
                    </w:r>
                    <w:r>
                      <w:fldChar w:fldCharType="separate"/>
                    </w:r>
                    <w:r>
                      <w:t>4</w:t>
                    </w:r>
                    <w:r>
                      <w:fldChar w:fldCharType="end"/>
                    </w:r>
                    <w:r>
                      <w:t xml:space="preserve"> 页</w:t>
                    </w:r>
                  </w:p>
                </w:txbxContent>
              </v:textbox>
            </v:shape>
          </w:pict>
        </mc:Fallback>
      </mc:AlternateContent>
    </w:r>
    <w:r>
      <w:rPr>
        <w:rFonts w:hint="eastAsia" w:ascii="Times New Roman" w:hAnsi="Times New Roman" w:cs="Times New Roman"/>
        <w:kern w:val="0"/>
        <w:sz w:val="18"/>
        <w:szCs w:val="18"/>
        <w:lang w:val="en-US" w:eastAsia="zh-CN"/>
      </w:rPr>
      <w:t>中国石油天然气股份有限公司呼和浩特石化分公司</w:t>
    </w:r>
    <w:r>
      <w:rPr>
        <w:rFonts w:hint="eastAsia" w:ascii="Times New Roman" w:hAnsi="Times New Roman" w:eastAsia="宋体" w:cs="Times New Roman"/>
        <w:kern w:val="0"/>
        <w:sz w:val="18"/>
        <w:szCs w:val="18"/>
        <w:lang w:val="en-US" w:eastAsia="zh-CN"/>
      </w:rPr>
      <w:t xml:space="preserve"> 编制</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thinThickSmallGap" w:color="auto" w:sz="12" w:space="1"/>
      </w:pBdr>
      <w:jc w:val="center"/>
      <w:rPr>
        <w:sz w:val="18"/>
        <w:szCs w:val="18"/>
      </w:rPr>
    </w:pPr>
    <w:r>
      <w:rPr>
        <w:rFonts w:hint="eastAsia" w:ascii="宋体" w:hAnsi="宋体" w:cs="宋体"/>
        <w:sz w:val="18"/>
        <w:szCs w:val="18"/>
        <w:lang w:val="en-US" w:eastAsia="zh-CN"/>
      </w:rPr>
      <w:t>中国石油天然气股份有限公司呼和浩特石化分公司</w:t>
    </w:r>
    <w:r>
      <w:rPr>
        <w:rFonts w:hint="eastAsia" w:ascii="宋体" w:hAnsi="宋体" w:eastAsia="宋体" w:cs="宋体"/>
        <w:sz w:val="18"/>
        <w:szCs w:val="18"/>
        <w:lang w:val="en-US" w:eastAsia="zh-CN"/>
      </w:rPr>
      <w:t>突发环境事件风险评估报告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thinThickSmallGap" w:color="auto" w:sz="12" w:space="1"/>
      </w:pBdr>
      <w:jc w:val="center"/>
      <w:rPr>
        <w:sz w:val="18"/>
        <w:szCs w:val="18"/>
      </w:rPr>
    </w:pPr>
    <w:r>
      <w:rPr>
        <w:rFonts w:hint="eastAsia" w:ascii="宋体" w:hAnsi="宋体" w:cs="宋体"/>
        <w:sz w:val="18"/>
        <w:szCs w:val="18"/>
        <w:lang w:val="en-US" w:eastAsia="zh-CN"/>
      </w:rPr>
      <w:t>中国石油天然气股份有限公司呼和浩特石化分公司</w:t>
    </w:r>
    <w:r>
      <w:rPr>
        <w:rFonts w:hint="eastAsia" w:ascii="宋体" w:hAnsi="宋体" w:eastAsia="宋体" w:cs="宋体"/>
        <w:sz w:val="18"/>
        <w:szCs w:val="18"/>
        <w:lang w:val="en-US" w:eastAsia="zh-CN"/>
      </w:rPr>
      <w:t>突发环境事件风险评估报告</w:t>
    </w:r>
  </w:p>
  <w:p>
    <w:pPr>
      <w:pStyle w:val="1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C01F6C"/>
    <w:multiLevelType w:val="singleLevel"/>
    <w:tmpl w:val="8FC01F6C"/>
    <w:lvl w:ilvl="0" w:tentative="0">
      <w:start w:val="1"/>
      <w:numFmt w:val="chineseCounting"/>
      <w:suff w:val="nothing"/>
      <w:lvlText w:val="%1、"/>
      <w:lvlJc w:val="left"/>
      <w:rPr>
        <w:rFonts w:hint="eastAsia"/>
      </w:rPr>
    </w:lvl>
  </w:abstractNum>
  <w:abstractNum w:abstractNumId="1">
    <w:nsid w:val="D138A75D"/>
    <w:multiLevelType w:val="singleLevel"/>
    <w:tmpl w:val="D138A75D"/>
    <w:lvl w:ilvl="0" w:tentative="0">
      <w:start w:val="4"/>
      <w:numFmt w:val="decimal"/>
      <w:suff w:val="nothing"/>
      <w:lvlText w:val="（%1）"/>
      <w:lvlJc w:val="left"/>
    </w:lvl>
  </w:abstractNum>
  <w:abstractNum w:abstractNumId="2">
    <w:nsid w:val="1F639474"/>
    <w:multiLevelType w:val="singleLevel"/>
    <w:tmpl w:val="1F639474"/>
    <w:lvl w:ilvl="0" w:tentative="0">
      <w:start w:val="1"/>
      <w:numFmt w:val="decimalEnclosedCircleChinese"/>
      <w:suff w:val="nothing"/>
      <w:lvlText w:val="%1　"/>
      <w:lvlJc w:val="left"/>
      <w:pPr>
        <w:ind w:left="0" w:firstLine="400"/>
      </w:pPr>
      <w:rPr>
        <w:rFonts w:hint="eastAsia"/>
      </w:rPr>
    </w:lvl>
  </w:abstractNum>
  <w:abstractNum w:abstractNumId="3">
    <w:nsid w:val="5823F407"/>
    <w:multiLevelType w:val="singleLevel"/>
    <w:tmpl w:val="5823F407"/>
    <w:lvl w:ilvl="0" w:tentative="0">
      <w:start w:val="1"/>
      <w:numFmt w:val="decimal"/>
      <w:suff w:val="nothing"/>
      <w:lvlText w:val="（%1）"/>
      <w:lvlJc w:val="left"/>
    </w:lvl>
  </w:abstractNum>
  <w:abstractNum w:abstractNumId="4">
    <w:nsid w:val="66475356"/>
    <w:multiLevelType w:val="singleLevel"/>
    <w:tmpl w:val="66475356"/>
    <w:lvl w:ilvl="0" w:tentative="0">
      <w:start w:val="3"/>
      <w:numFmt w:val="decimal"/>
      <w:suff w:val="nothing"/>
      <w:lvlText w:val="（%1）"/>
      <w:lvlJc w:val="left"/>
    </w:lvl>
  </w:abstractNum>
  <w:abstractNum w:abstractNumId="5">
    <w:nsid w:val="7E1F4BDC"/>
    <w:multiLevelType w:val="multilevel"/>
    <w:tmpl w:val="7E1F4BDC"/>
    <w:lvl w:ilvl="0" w:tentative="0">
      <w:start w:val="1"/>
      <w:numFmt w:val="bullet"/>
      <w:lvlText w:val=""/>
      <w:lvlJc w:val="left"/>
      <w:pPr>
        <w:tabs>
          <w:tab w:val="left" w:pos="720"/>
        </w:tabs>
        <w:ind w:left="720" w:hanging="420"/>
      </w:pPr>
      <w:rPr>
        <w:rFonts w:hint="default" w:ascii="Wingdings" w:hAnsi="Wingdings"/>
      </w:rPr>
    </w:lvl>
    <w:lvl w:ilvl="1" w:tentative="0">
      <w:start w:val="1"/>
      <w:numFmt w:val="bullet"/>
      <w:lvlText w:val=""/>
      <w:lvlJc w:val="left"/>
      <w:pPr>
        <w:tabs>
          <w:tab w:val="left" w:pos="1140"/>
        </w:tabs>
        <w:ind w:left="1140" w:hanging="420"/>
      </w:pPr>
      <w:rPr>
        <w:rFonts w:hint="default" w:ascii="Wingdings" w:hAnsi="Wingdings"/>
      </w:rPr>
    </w:lvl>
    <w:lvl w:ilvl="2" w:tentative="0">
      <w:start w:val="1"/>
      <w:numFmt w:val="bullet"/>
      <w:lvlText w:val=""/>
      <w:lvlJc w:val="left"/>
      <w:pPr>
        <w:tabs>
          <w:tab w:val="left" w:pos="1560"/>
        </w:tabs>
        <w:ind w:left="1560" w:hanging="420"/>
      </w:pPr>
      <w:rPr>
        <w:rFonts w:hint="default" w:ascii="Wingdings" w:hAnsi="Wingdings"/>
      </w:rPr>
    </w:lvl>
    <w:lvl w:ilvl="3" w:tentative="0">
      <w:start w:val="1"/>
      <w:numFmt w:val="bullet"/>
      <w:lvlText w:val=""/>
      <w:lvlJc w:val="left"/>
      <w:pPr>
        <w:tabs>
          <w:tab w:val="left" w:pos="1980"/>
        </w:tabs>
        <w:ind w:left="1980" w:hanging="420"/>
      </w:pPr>
      <w:rPr>
        <w:rFonts w:hint="default" w:ascii="Wingdings" w:hAnsi="Wingdings"/>
      </w:rPr>
    </w:lvl>
    <w:lvl w:ilvl="4" w:tentative="0">
      <w:start w:val="1"/>
      <w:numFmt w:val="bullet"/>
      <w:lvlText w:val=""/>
      <w:lvlJc w:val="left"/>
      <w:pPr>
        <w:tabs>
          <w:tab w:val="left" w:pos="2400"/>
        </w:tabs>
        <w:ind w:left="2400" w:hanging="420"/>
      </w:pPr>
      <w:rPr>
        <w:rFonts w:hint="default" w:ascii="Wingdings" w:hAnsi="Wingdings"/>
      </w:rPr>
    </w:lvl>
    <w:lvl w:ilvl="5" w:tentative="0">
      <w:start w:val="1"/>
      <w:numFmt w:val="bullet"/>
      <w:lvlText w:val=""/>
      <w:lvlJc w:val="left"/>
      <w:pPr>
        <w:tabs>
          <w:tab w:val="left" w:pos="2820"/>
        </w:tabs>
        <w:ind w:left="2820" w:hanging="420"/>
      </w:pPr>
      <w:rPr>
        <w:rFonts w:hint="default" w:ascii="Wingdings" w:hAnsi="Wingdings"/>
      </w:rPr>
    </w:lvl>
    <w:lvl w:ilvl="6" w:tentative="0">
      <w:start w:val="1"/>
      <w:numFmt w:val="bullet"/>
      <w:lvlText w:val=""/>
      <w:lvlJc w:val="left"/>
      <w:pPr>
        <w:tabs>
          <w:tab w:val="left" w:pos="3240"/>
        </w:tabs>
        <w:ind w:left="3240" w:hanging="420"/>
      </w:pPr>
      <w:rPr>
        <w:rFonts w:hint="default" w:ascii="Wingdings" w:hAnsi="Wingdings"/>
      </w:rPr>
    </w:lvl>
    <w:lvl w:ilvl="7" w:tentative="0">
      <w:start w:val="1"/>
      <w:numFmt w:val="bullet"/>
      <w:lvlText w:val=""/>
      <w:lvlJc w:val="left"/>
      <w:pPr>
        <w:tabs>
          <w:tab w:val="left" w:pos="3660"/>
        </w:tabs>
        <w:ind w:left="3660" w:hanging="420"/>
      </w:pPr>
      <w:rPr>
        <w:rFonts w:hint="default" w:ascii="Wingdings" w:hAnsi="Wingdings"/>
      </w:rPr>
    </w:lvl>
    <w:lvl w:ilvl="8" w:tentative="0">
      <w:start w:val="1"/>
      <w:numFmt w:val="bullet"/>
      <w:lvlText w:val=""/>
      <w:lvlJc w:val="left"/>
      <w:pPr>
        <w:tabs>
          <w:tab w:val="left" w:pos="4080"/>
        </w:tabs>
        <w:ind w:left="4080" w:hanging="420"/>
      </w:pPr>
      <w:rPr>
        <w:rFonts w:hint="default" w:ascii="Wingdings" w:hAnsi="Wingdings"/>
      </w:rPr>
    </w:lvl>
  </w:abstractNum>
  <w:abstractNum w:abstractNumId="6">
    <w:nsid w:val="7E935019"/>
    <w:multiLevelType w:val="singleLevel"/>
    <w:tmpl w:val="7E935019"/>
    <w:lvl w:ilvl="0" w:tentative="0">
      <w:start w:val="3"/>
      <w:numFmt w:val="decimal"/>
      <w:suff w:val="nothing"/>
      <w:lvlText w:val="（%1）"/>
      <w:lvlJc w:val="left"/>
    </w:lvl>
  </w:abstractNum>
  <w:num w:numId="1">
    <w:abstractNumId w:val="2"/>
  </w:num>
  <w:num w:numId="2">
    <w:abstractNumId w:val="4"/>
  </w:num>
  <w:num w:numId="3">
    <w:abstractNumId w:val="5"/>
  </w:num>
  <w:num w:numId="4">
    <w:abstractNumId w:val="0"/>
  </w:num>
  <w:num w:numId="5">
    <w:abstractNumId w:val="3"/>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092509"/>
    <w:rsid w:val="007006C6"/>
    <w:rsid w:val="01687703"/>
    <w:rsid w:val="01703458"/>
    <w:rsid w:val="06EB0BBA"/>
    <w:rsid w:val="07634BF4"/>
    <w:rsid w:val="0790350F"/>
    <w:rsid w:val="087E4ECC"/>
    <w:rsid w:val="0AEC4F01"/>
    <w:rsid w:val="0FC85F3C"/>
    <w:rsid w:val="15146C09"/>
    <w:rsid w:val="16E15B36"/>
    <w:rsid w:val="179E7583"/>
    <w:rsid w:val="18142E02"/>
    <w:rsid w:val="19960E59"/>
    <w:rsid w:val="1A975C0F"/>
    <w:rsid w:val="1B262EDA"/>
    <w:rsid w:val="1E9D7292"/>
    <w:rsid w:val="1F100B00"/>
    <w:rsid w:val="21891CF6"/>
    <w:rsid w:val="21F168BB"/>
    <w:rsid w:val="237A7F73"/>
    <w:rsid w:val="264E7C12"/>
    <w:rsid w:val="2753038A"/>
    <w:rsid w:val="281A33C4"/>
    <w:rsid w:val="285C326E"/>
    <w:rsid w:val="2D797615"/>
    <w:rsid w:val="2E444588"/>
    <w:rsid w:val="2FB227EC"/>
    <w:rsid w:val="32E14A9C"/>
    <w:rsid w:val="334E34B9"/>
    <w:rsid w:val="33B91574"/>
    <w:rsid w:val="34311A53"/>
    <w:rsid w:val="343B4069"/>
    <w:rsid w:val="34845AB5"/>
    <w:rsid w:val="34AB2351"/>
    <w:rsid w:val="358E48F0"/>
    <w:rsid w:val="37BC5BC3"/>
    <w:rsid w:val="38592EB6"/>
    <w:rsid w:val="389F176C"/>
    <w:rsid w:val="38FA7087"/>
    <w:rsid w:val="395D6E46"/>
    <w:rsid w:val="39B62371"/>
    <w:rsid w:val="3C4A59AD"/>
    <w:rsid w:val="41401B13"/>
    <w:rsid w:val="44823316"/>
    <w:rsid w:val="44D256B2"/>
    <w:rsid w:val="44D60CAD"/>
    <w:rsid w:val="45C77F81"/>
    <w:rsid w:val="461C1A21"/>
    <w:rsid w:val="463446BC"/>
    <w:rsid w:val="4740402F"/>
    <w:rsid w:val="4808344D"/>
    <w:rsid w:val="48A64365"/>
    <w:rsid w:val="49A25348"/>
    <w:rsid w:val="4A267CD1"/>
    <w:rsid w:val="4C92075D"/>
    <w:rsid w:val="4D994499"/>
    <w:rsid w:val="4E080189"/>
    <w:rsid w:val="4E437F61"/>
    <w:rsid w:val="4EDF3725"/>
    <w:rsid w:val="50477A9B"/>
    <w:rsid w:val="513A40D0"/>
    <w:rsid w:val="51777962"/>
    <w:rsid w:val="539C0F50"/>
    <w:rsid w:val="55A34CA2"/>
    <w:rsid w:val="56BC52D6"/>
    <w:rsid w:val="56E42A9A"/>
    <w:rsid w:val="576E5964"/>
    <w:rsid w:val="57835872"/>
    <w:rsid w:val="57DD1426"/>
    <w:rsid w:val="581C5541"/>
    <w:rsid w:val="59102873"/>
    <w:rsid w:val="5A4A60C0"/>
    <w:rsid w:val="5B23726D"/>
    <w:rsid w:val="5CCB5CF1"/>
    <w:rsid w:val="5D302299"/>
    <w:rsid w:val="5E5B413C"/>
    <w:rsid w:val="5F100333"/>
    <w:rsid w:val="5FAF097A"/>
    <w:rsid w:val="61F335F4"/>
    <w:rsid w:val="64996C5F"/>
    <w:rsid w:val="64AD3F2E"/>
    <w:rsid w:val="64CC0A0E"/>
    <w:rsid w:val="64D76229"/>
    <w:rsid w:val="65D200F0"/>
    <w:rsid w:val="68D53E8D"/>
    <w:rsid w:val="6A9C2A7B"/>
    <w:rsid w:val="6AC27B9E"/>
    <w:rsid w:val="6AE67B5A"/>
    <w:rsid w:val="6BF40694"/>
    <w:rsid w:val="706C1141"/>
    <w:rsid w:val="716F16D1"/>
    <w:rsid w:val="72923EE1"/>
    <w:rsid w:val="73B52DFF"/>
    <w:rsid w:val="74A0585D"/>
    <w:rsid w:val="75060505"/>
    <w:rsid w:val="750B45FF"/>
    <w:rsid w:val="756C44E1"/>
    <w:rsid w:val="75B74481"/>
    <w:rsid w:val="762B73A9"/>
    <w:rsid w:val="781A1483"/>
    <w:rsid w:val="795E4806"/>
    <w:rsid w:val="79993093"/>
    <w:rsid w:val="7A041D3C"/>
    <w:rsid w:val="7DFE138E"/>
    <w:rsid w:val="7E0943E2"/>
    <w:rsid w:val="7F0A7C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3">
    <w:name w:val="heading 1"/>
    <w:basedOn w:val="1"/>
    <w:next w:val="1"/>
    <w:link w:val="25"/>
    <w:qFormat/>
    <w:uiPriority w:val="0"/>
    <w:pPr>
      <w:keepNext/>
      <w:keepLines/>
      <w:spacing w:before="340" w:beforeLines="0" w:beforeAutospacing="0" w:after="330" w:afterLines="0" w:afterAutospacing="0" w:line="576" w:lineRule="auto"/>
      <w:outlineLvl w:val="0"/>
    </w:pPr>
    <w:rPr>
      <w:b/>
      <w:kern w:val="44"/>
      <w:sz w:val="44"/>
    </w:rPr>
  </w:style>
  <w:style w:type="paragraph" w:styleId="4">
    <w:name w:val="heading 2"/>
    <w:basedOn w:val="1"/>
    <w:next w:val="1"/>
    <w:unhideWhenUsed/>
    <w:qFormat/>
    <w:uiPriority w:val="0"/>
    <w:pPr>
      <w:keepNext/>
      <w:keepLines/>
      <w:spacing w:before="260" w:beforeLines="0" w:after="260" w:afterLines="0" w:line="413" w:lineRule="auto"/>
      <w:outlineLvl w:val="1"/>
    </w:pPr>
    <w:rPr>
      <w:rFonts w:ascii="Arial" w:hAnsi="Arial" w:eastAsia="黑体"/>
      <w:b/>
      <w:bCs/>
      <w:sz w:val="32"/>
      <w:szCs w:val="32"/>
    </w:rPr>
  </w:style>
  <w:style w:type="paragraph" w:styleId="5">
    <w:name w:val="heading 3"/>
    <w:basedOn w:val="1"/>
    <w:next w:val="1"/>
    <w:unhideWhenUsed/>
    <w:qFormat/>
    <w:uiPriority w:val="0"/>
    <w:pPr>
      <w:keepNext/>
      <w:keepLines/>
      <w:spacing w:before="260" w:after="260" w:line="413" w:lineRule="auto"/>
      <w:outlineLvl w:val="2"/>
    </w:pPr>
    <w:rPr>
      <w:b/>
      <w:bCs/>
      <w:sz w:val="32"/>
      <w:szCs w:val="32"/>
    </w:rPr>
  </w:style>
  <w:style w:type="paragraph" w:styleId="6">
    <w:name w:val="heading 4"/>
    <w:basedOn w:val="1"/>
    <w:next w:val="1"/>
    <w:link w:val="43"/>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23">
    <w:name w:val="Default Paragraph Font"/>
    <w:semiHidden/>
    <w:qFormat/>
    <w:uiPriority w:val="0"/>
  </w:style>
  <w:style w:type="table" w:default="1" w:styleId="21">
    <w:name w:val="Normal Table"/>
    <w:semiHidden/>
    <w:qFormat/>
    <w:uiPriority w:val="0"/>
    <w:tblPr>
      <w:tblCellMar>
        <w:top w:w="0" w:type="dxa"/>
        <w:left w:w="108" w:type="dxa"/>
        <w:bottom w:w="0" w:type="dxa"/>
        <w:right w:w="108" w:type="dxa"/>
      </w:tblCellMar>
    </w:tblPr>
  </w:style>
  <w:style w:type="paragraph" w:styleId="2">
    <w:name w:val="endnote text"/>
    <w:basedOn w:val="1"/>
    <w:qFormat/>
    <w:uiPriority w:val="0"/>
    <w:pPr>
      <w:snapToGrid w:val="0"/>
      <w:jc w:val="left"/>
    </w:pPr>
  </w:style>
  <w:style w:type="paragraph" w:styleId="7">
    <w:name w:val="Normal Indent"/>
    <w:basedOn w:val="1"/>
    <w:qFormat/>
    <w:uiPriority w:val="0"/>
    <w:pPr>
      <w:spacing w:line="360" w:lineRule="auto"/>
      <w:ind w:firstLine="420"/>
    </w:pPr>
    <w:rPr>
      <w:rFonts w:ascii="宋体" w:hAnsi="宋体"/>
      <w:kern w:val="18"/>
      <w:sz w:val="28"/>
      <w:szCs w:val="21"/>
    </w:rPr>
  </w:style>
  <w:style w:type="paragraph" w:styleId="8">
    <w:name w:val="caption"/>
    <w:basedOn w:val="1"/>
    <w:next w:val="1"/>
    <w:qFormat/>
    <w:uiPriority w:val="0"/>
    <w:pPr>
      <w:spacing w:beforeLines="30" w:afterLines="30"/>
      <w:jc w:val="center"/>
    </w:pPr>
    <w:rPr>
      <w:rFonts w:eastAsia="黑体" w:cs="Arial"/>
      <w:sz w:val="24"/>
      <w:szCs w:val="20"/>
    </w:rPr>
  </w:style>
  <w:style w:type="paragraph" w:styleId="9">
    <w:name w:val="Body Text"/>
    <w:basedOn w:val="1"/>
    <w:unhideWhenUsed/>
    <w:qFormat/>
    <w:uiPriority w:val="1"/>
    <w:pPr>
      <w:spacing w:beforeLines="0" w:afterLines="0"/>
      <w:ind w:left="116"/>
    </w:pPr>
    <w:rPr>
      <w:rFonts w:hint="eastAsia" w:ascii="宋体" w:hAnsi="宋体" w:eastAsia="宋体"/>
      <w:sz w:val="24"/>
    </w:rPr>
  </w:style>
  <w:style w:type="paragraph" w:styleId="10">
    <w:name w:val="Body Text Indent"/>
    <w:basedOn w:val="1"/>
    <w:qFormat/>
    <w:uiPriority w:val="0"/>
    <w:pPr>
      <w:ind w:firstLine="480"/>
    </w:pPr>
  </w:style>
  <w:style w:type="paragraph" w:styleId="11">
    <w:name w:val="toc 3"/>
    <w:basedOn w:val="1"/>
    <w:next w:val="1"/>
    <w:qFormat/>
    <w:uiPriority w:val="0"/>
    <w:pPr>
      <w:ind w:left="840" w:leftChars="400"/>
    </w:pPr>
  </w:style>
  <w:style w:type="paragraph" w:styleId="12">
    <w:name w:val="Body Text Indent 2"/>
    <w:basedOn w:val="1"/>
    <w:qFormat/>
    <w:uiPriority w:val="0"/>
    <w:pPr>
      <w:spacing w:line="360" w:lineRule="auto"/>
      <w:ind w:right="25" w:rightChars="12" w:firstLine="480" w:firstLineChars="200"/>
    </w:pPr>
    <w:rPr>
      <w:rFonts w:ascii="Times New Roman" w:hAnsi="Times New Roman" w:eastAsia="宋体" w:cs="Times New Roman"/>
      <w:sz w:val="24"/>
    </w:rPr>
  </w:style>
  <w:style w:type="paragraph" w:styleId="13">
    <w:name w:val="footer"/>
    <w:basedOn w:val="1"/>
    <w:qFormat/>
    <w:uiPriority w:val="0"/>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qFormat/>
    <w:uiPriority w:val="0"/>
  </w:style>
  <w:style w:type="paragraph" w:styleId="16">
    <w:name w:val="toc 2"/>
    <w:basedOn w:val="1"/>
    <w:next w:val="1"/>
    <w:qFormat/>
    <w:uiPriority w:val="0"/>
    <w:pPr>
      <w:ind w:left="420" w:leftChars="200"/>
    </w:pPr>
  </w:style>
  <w:style w:type="paragraph" w:styleId="17">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18">
    <w:name w:val="Normal (Web)"/>
    <w:basedOn w:val="1"/>
    <w:qFormat/>
    <w:uiPriority w:val="0"/>
    <w:rPr>
      <w:rFonts w:ascii="Times New Roman" w:hAnsi="Times New Roman"/>
      <w:sz w:val="24"/>
      <w:szCs w:val="24"/>
    </w:rPr>
  </w:style>
  <w:style w:type="paragraph" w:styleId="19">
    <w:name w:val="Body Text First Indent"/>
    <w:basedOn w:val="9"/>
    <w:qFormat/>
    <w:uiPriority w:val="0"/>
    <w:pPr>
      <w:ind w:firstLine="562" w:firstLineChars="200"/>
    </w:pPr>
    <w:rPr>
      <w:rFonts w:ascii="Times New Roman" w:hAnsi="Times New Roman" w:cs="Times New Roman"/>
    </w:rPr>
  </w:style>
  <w:style w:type="paragraph" w:styleId="20">
    <w:name w:val="Body Text First Indent 2"/>
    <w:basedOn w:val="10"/>
    <w:qFormat/>
    <w:uiPriority w:val="0"/>
    <w:pPr>
      <w:tabs>
        <w:tab w:val="left" w:leader="dot" w:pos="7980"/>
      </w:tabs>
      <w:spacing w:before="0" w:after="120" w:line="240" w:lineRule="auto"/>
      <w:ind w:left="420" w:leftChars="200" w:firstLine="420"/>
    </w:pPr>
    <w:rPr>
      <w:sz w:val="21"/>
    </w:rPr>
  </w:style>
  <w:style w:type="table" w:styleId="22">
    <w:name w:val="Table Grid"/>
    <w:basedOn w:val="2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4">
    <w:name w:val="[1]正文"/>
    <w:basedOn w:val="1"/>
    <w:qFormat/>
    <w:uiPriority w:val="0"/>
    <w:pPr>
      <w:widowControl/>
      <w:adjustRightInd w:val="0"/>
      <w:snapToGrid w:val="0"/>
    </w:pPr>
    <w:rPr>
      <w:kern w:val="0"/>
      <w:szCs w:val="28"/>
    </w:rPr>
  </w:style>
  <w:style w:type="character" w:customStyle="1" w:styleId="25">
    <w:name w:val="标题 1 Char"/>
    <w:link w:val="3"/>
    <w:qFormat/>
    <w:uiPriority w:val="0"/>
    <w:rPr>
      <w:b/>
      <w:kern w:val="44"/>
      <w:sz w:val="44"/>
    </w:rPr>
  </w:style>
  <w:style w:type="paragraph" w:customStyle="1" w:styleId="26">
    <w:name w:val="正文样式"/>
    <w:basedOn w:val="1"/>
    <w:qFormat/>
    <w:uiPriority w:val="0"/>
    <w:pPr>
      <w:adjustRightInd w:val="0"/>
      <w:snapToGrid w:val="0"/>
      <w:spacing w:line="520" w:lineRule="exact"/>
      <w:ind w:firstLine="562"/>
    </w:pPr>
    <w:rPr>
      <w:rFonts w:cs="宋体"/>
      <w:color w:val="000000"/>
      <w:kern w:val="0"/>
      <w:sz w:val="28"/>
      <w:szCs w:val="28"/>
    </w:rPr>
  </w:style>
  <w:style w:type="paragraph" w:customStyle="1" w:styleId="27">
    <w:name w:val="Definition List"/>
    <w:basedOn w:val="1"/>
    <w:next w:val="1"/>
    <w:qFormat/>
    <w:uiPriority w:val="0"/>
    <w:pPr>
      <w:autoSpaceDE w:val="0"/>
      <w:autoSpaceDN w:val="0"/>
      <w:adjustRightInd w:val="0"/>
      <w:ind w:left="360"/>
      <w:jc w:val="left"/>
    </w:pPr>
    <w:rPr>
      <w:rFonts w:ascii="Times New Roman" w:hAnsi="Times New Roman" w:cs="Times New Roman"/>
      <w:kern w:val="0"/>
      <w:sz w:val="24"/>
      <w:szCs w:val="20"/>
    </w:rPr>
  </w:style>
  <w:style w:type="paragraph" w:customStyle="1" w:styleId="28">
    <w:name w:val=" Char1 Char Char Char Char Char Char Char Char Char Char Char Char"/>
    <w:basedOn w:val="1"/>
    <w:next w:val="1"/>
    <w:qFormat/>
    <w:uiPriority w:val="0"/>
    <w:pPr>
      <w:spacing w:line="360" w:lineRule="auto"/>
      <w:ind w:firstLine="200" w:firstLineChars="200"/>
    </w:pPr>
    <w:rPr>
      <w:rFonts w:ascii="宋体" w:hAnsi="宋体" w:cs="宋体"/>
      <w:sz w:val="24"/>
      <w:szCs w:val="24"/>
    </w:rPr>
  </w:style>
  <w:style w:type="paragraph" w:customStyle="1" w:styleId="29">
    <w:name w:val="fu正文"/>
    <w:basedOn w:val="1"/>
    <w:qFormat/>
    <w:uiPriority w:val="0"/>
    <w:pPr>
      <w:spacing w:line="460" w:lineRule="exact"/>
    </w:pPr>
    <w:rPr>
      <w:rFonts w:ascii="宋体" w:hAnsi="宋体"/>
      <w:color w:val="000000"/>
      <w:szCs w:val="24"/>
    </w:rPr>
  </w:style>
  <w:style w:type="paragraph" w:customStyle="1" w:styleId="30">
    <w:name w:val="付正文1"/>
    <w:basedOn w:val="1"/>
    <w:next w:val="1"/>
    <w:qFormat/>
    <w:uiPriority w:val="0"/>
    <w:pPr>
      <w:spacing w:line="360" w:lineRule="auto"/>
      <w:ind w:firstLine="200" w:firstLineChars="200"/>
    </w:pPr>
    <w:rPr>
      <w:rFonts w:ascii="宋体" w:hAnsi="宋体" w:cs="Arial"/>
      <w:color w:val="000000"/>
      <w:sz w:val="24"/>
      <w:szCs w:val="24"/>
    </w:rPr>
  </w:style>
  <w:style w:type="paragraph" w:customStyle="1" w:styleId="31">
    <w:name w:val="付正文"/>
    <w:basedOn w:val="1"/>
    <w:semiHidden/>
    <w:qFormat/>
    <w:uiPriority w:val="0"/>
    <w:pPr>
      <w:spacing w:line="360" w:lineRule="auto"/>
      <w:ind w:firstLine="200" w:firstLineChars="200"/>
    </w:pPr>
    <w:rPr>
      <w:rFonts w:ascii="宋体" w:hAnsi="Times New Roman" w:cs="Times New Roman"/>
      <w:color w:val="000000"/>
      <w:sz w:val="24"/>
      <w:szCs w:val="21"/>
    </w:rPr>
  </w:style>
  <w:style w:type="paragraph" w:customStyle="1" w:styleId="32">
    <w:name w:val="表格13"/>
    <w:basedOn w:val="1"/>
    <w:qFormat/>
    <w:uiPriority w:val="0"/>
    <w:pPr>
      <w:adjustRightInd w:val="0"/>
      <w:spacing w:line="260" w:lineRule="atLeast"/>
      <w:jc w:val="center"/>
      <w:textAlignment w:val="baseline"/>
    </w:pPr>
    <w:rPr>
      <w:rFonts w:ascii="宋体" w:hAnsi="Times New Roman" w:cs="宋体"/>
      <w:color w:val="000000"/>
      <w:kern w:val="0"/>
      <w:szCs w:val="18"/>
      <w:lang w:val="zh-CN"/>
    </w:rPr>
  </w:style>
  <w:style w:type="paragraph" w:customStyle="1" w:styleId="33">
    <w:name w:val="【正文】"/>
    <w:basedOn w:val="1"/>
    <w:qFormat/>
    <w:uiPriority w:val="0"/>
    <w:pPr>
      <w:widowControl w:val="0"/>
      <w:spacing w:line="520" w:lineRule="exact"/>
      <w:ind w:firstLine="200" w:firstLineChars="200"/>
    </w:pPr>
    <w:rPr>
      <w:sz w:val="24"/>
    </w:rPr>
  </w:style>
  <w:style w:type="paragraph" w:customStyle="1" w:styleId="34">
    <w:name w:val="环评正文"/>
    <w:basedOn w:val="1"/>
    <w:next w:val="1"/>
    <w:qFormat/>
    <w:uiPriority w:val="0"/>
    <w:pPr>
      <w:widowControl/>
      <w:spacing w:before="0" w:beforeAutospacing="0" w:after="0" w:afterAutospacing="0" w:line="360" w:lineRule="auto"/>
      <w:ind w:left="0" w:right="0" w:firstLine="200" w:firstLineChars="200"/>
      <w:jc w:val="left"/>
    </w:pPr>
    <w:rPr>
      <w:rFonts w:hint="default" w:ascii="仿宋_GB2312" w:hAnsi="宋体" w:eastAsia="仿宋_GB2312" w:cs="宋体"/>
      <w:kern w:val="2"/>
      <w:sz w:val="28"/>
      <w:szCs w:val="28"/>
      <w:lang w:val="en-US" w:eastAsia="zh-CN" w:bidi="ar"/>
    </w:rPr>
  </w:style>
  <w:style w:type="paragraph" w:customStyle="1" w:styleId="35">
    <w:name w:val="书 正文"/>
    <w:basedOn w:val="1"/>
    <w:qFormat/>
    <w:uiPriority w:val="0"/>
    <w:pPr>
      <w:ind w:firstLine="200" w:firstLineChars="200"/>
    </w:pPr>
    <w:rPr>
      <w:rFonts w:ascii="Times New Roman" w:hAnsi="Times New Roman" w:cs="·..."/>
      <w:kern w:val="0"/>
      <w:sz w:val="24"/>
      <w:szCs w:val="24"/>
    </w:rPr>
  </w:style>
  <w:style w:type="paragraph" w:customStyle="1" w:styleId="36">
    <w:name w:val="样式 正文 + (中文) 黑体 段前: 12 磅 段后: 3 磅"/>
    <w:basedOn w:val="1"/>
    <w:qFormat/>
    <w:uiPriority w:val="0"/>
    <w:pPr>
      <w:widowControl/>
      <w:spacing w:before="240" w:after="60"/>
      <w:jc w:val="left"/>
      <w:outlineLvl w:val="2"/>
    </w:pPr>
    <w:rPr>
      <w:rFonts w:ascii="Times New Roman" w:hAnsi="Times New Roman" w:eastAsia="黑体" w:cs="宋体"/>
      <w:kern w:val="0"/>
      <w:sz w:val="24"/>
      <w:szCs w:val="20"/>
    </w:rPr>
  </w:style>
  <w:style w:type="paragraph" w:customStyle="1" w:styleId="37">
    <w:name w:val="垃圾正文"/>
    <w:basedOn w:val="38"/>
    <w:qFormat/>
    <w:uiPriority w:val="0"/>
    <w:pPr>
      <w:ind w:firstLine="480" w:firstLineChars="200"/>
    </w:pPr>
    <w:rPr>
      <w:rFonts w:ascii="宋体" w:hAnsi="Times New Roman" w:eastAsia="宋体" w:cs="宋体"/>
      <w:sz w:val="24"/>
      <w:szCs w:val="24"/>
    </w:rPr>
  </w:style>
  <w:style w:type="paragraph" w:customStyle="1" w:styleId="38">
    <w:name w:val="正文13"/>
    <w:basedOn w:val="10"/>
    <w:qFormat/>
    <w:uiPriority w:val="0"/>
    <w:pPr>
      <w:spacing w:after="0" w:afterLines="0" w:line="480" w:lineRule="exact"/>
      <w:ind w:left="0" w:leftChars="0" w:firstLine="522"/>
    </w:pPr>
    <w:rPr>
      <w:rFonts w:ascii="Times New Roman" w:hAnsi="Times New Roman" w:eastAsia="宋体" w:cs="Times New Roman"/>
      <w:sz w:val="26"/>
      <w:szCs w:val="26"/>
    </w:rPr>
  </w:style>
  <w:style w:type="paragraph" w:customStyle="1" w:styleId="39">
    <w:name w:val="正文(首行缩进)"/>
    <w:basedOn w:val="1"/>
    <w:qFormat/>
    <w:uiPriority w:val="0"/>
    <w:pPr>
      <w:adjustRightInd w:val="0"/>
      <w:snapToGrid w:val="0"/>
      <w:spacing w:line="360" w:lineRule="auto"/>
      <w:ind w:firstLine="200" w:firstLineChars="200"/>
    </w:pPr>
    <w:rPr>
      <w:rFonts w:eastAsia="宋体"/>
      <w:snapToGrid w:val="0"/>
      <w:kern w:val="0"/>
      <w:sz w:val="24"/>
    </w:rPr>
  </w:style>
  <w:style w:type="paragraph" w:customStyle="1" w:styleId="40">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41">
    <w:name w:val="一级条标题"/>
    <w:basedOn w:val="3"/>
    <w:next w:val="1"/>
    <w:qFormat/>
    <w:uiPriority w:val="0"/>
    <w:pPr>
      <w:keepNext w:val="0"/>
      <w:widowControl/>
      <w:tabs>
        <w:tab w:val="left" w:pos="360"/>
        <w:tab w:val="left" w:pos="2175"/>
        <w:tab w:val="left" w:pos="2178"/>
      </w:tabs>
      <w:spacing w:beforeLines="0"/>
      <w:jc w:val="both"/>
      <w:outlineLvl w:val="2"/>
    </w:pPr>
    <w:rPr>
      <w:rFonts w:hAnsi="Times New Roman" w:cs="Times New Roman"/>
      <w:color w:val="auto"/>
      <w:spacing w:val="0"/>
      <w:kern w:val="0"/>
      <w:sz w:val="21"/>
      <w:szCs w:val="20"/>
    </w:rPr>
  </w:style>
  <w:style w:type="paragraph" w:customStyle="1" w:styleId="42">
    <w:name w:val="无间隔11"/>
    <w:basedOn w:val="1"/>
    <w:next w:val="1"/>
    <w:qFormat/>
    <w:uiPriority w:val="99"/>
    <w:pPr>
      <w:spacing w:line="240" w:lineRule="auto"/>
      <w:ind w:left="0" w:firstLine="0" w:firstLineChars="0"/>
      <w:jc w:val="center"/>
    </w:pPr>
    <w:rPr>
      <w:rFonts w:ascii="Verdana" w:hAnsi="Verdana"/>
      <w:szCs w:val="21"/>
      <w:lang w:val="zh-CN" w:eastAsia="en-US"/>
    </w:rPr>
  </w:style>
  <w:style w:type="character" w:customStyle="1" w:styleId="43">
    <w:name w:val="标题 4 Char"/>
    <w:link w:val="6"/>
    <w:qFormat/>
    <w:uiPriority w:val="0"/>
    <w:rPr>
      <w:rFonts w:ascii="Arial" w:hAnsi="Arial" w:eastAsia="黑体"/>
      <w:b/>
      <w:sz w:val="28"/>
    </w:rPr>
  </w:style>
  <w:style w:type="character" w:customStyle="1" w:styleId="44">
    <w:name w:val="font21"/>
    <w:basedOn w:val="23"/>
    <w:qFormat/>
    <w:uiPriority w:val="0"/>
    <w:rPr>
      <w:rFonts w:hint="default" w:ascii="Times New Roman" w:hAnsi="Times New Roman" w:cs="Times New Roman"/>
      <w:color w:val="000000"/>
      <w:sz w:val="18"/>
      <w:szCs w:val="18"/>
      <w:u w:val="none"/>
    </w:rPr>
  </w:style>
  <w:style w:type="character" w:customStyle="1" w:styleId="45">
    <w:name w:val="font11"/>
    <w:basedOn w:val="23"/>
    <w:qFormat/>
    <w:uiPriority w:val="0"/>
    <w:rPr>
      <w:rFonts w:hint="eastAsia" w:ascii="宋体" w:hAnsi="宋体" w:eastAsia="宋体" w:cs="宋体"/>
      <w:color w:val="000000"/>
      <w:sz w:val="18"/>
      <w:szCs w:val="18"/>
      <w:u w:val="none"/>
    </w:rPr>
  </w:style>
  <w:style w:type="character" w:customStyle="1" w:styleId="46">
    <w:name w:val="左-正文 Char Char"/>
    <w:link w:val="47"/>
    <w:qFormat/>
    <w:uiPriority w:val="0"/>
    <w:rPr>
      <w:rFonts w:ascii="宋体" w:hAnsi="宋体"/>
      <w:kern w:val="0"/>
      <w:sz w:val="24"/>
    </w:rPr>
  </w:style>
  <w:style w:type="paragraph" w:customStyle="1" w:styleId="47">
    <w:name w:val="左-正文"/>
    <w:basedOn w:val="1"/>
    <w:link w:val="46"/>
    <w:qFormat/>
    <w:uiPriority w:val="0"/>
    <w:pPr>
      <w:widowControl/>
      <w:topLinePunct/>
      <w:spacing w:line="360" w:lineRule="auto"/>
      <w:ind w:firstLine="200" w:firstLineChars="200"/>
    </w:pPr>
    <w:rPr>
      <w:rFonts w:ascii="宋体" w:hAnsi="宋体"/>
      <w:kern w:val="0"/>
      <w:sz w:val="24"/>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35.bin"/><Relationship Id="rId98" Type="http://schemas.openxmlformats.org/officeDocument/2006/relationships/oleObject" Target="embeddings/oleObject34.bin"/><Relationship Id="rId97" Type="http://schemas.openxmlformats.org/officeDocument/2006/relationships/oleObject" Target="embeddings/oleObject33.bin"/><Relationship Id="rId96" Type="http://schemas.openxmlformats.org/officeDocument/2006/relationships/oleObject" Target="embeddings/oleObject32.bin"/><Relationship Id="rId95" Type="http://schemas.openxmlformats.org/officeDocument/2006/relationships/oleObject" Target="embeddings/oleObject31.bin"/><Relationship Id="rId94" Type="http://schemas.openxmlformats.org/officeDocument/2006/relationships/oleObject" Target="embeddings/oleObject30.bin"/><Relationship Id="rId93" Type="http://schemas.openxmlformats.org/officeDocument/2006/relationships/oleObject" Target="embeddings/oleObject29.bin"/><Relationship Id="rId92" Type="http://schemas.openxmlformats.org/officeDocument/2006/relationships/oleObject" Target="embeddings/oleObject28.bin"/><Relationship Id="rId91" Type="http://schemas.openxmlformats.org/officeDocument/2006/relationships/oleObject" Target="embeddings/oleObject27.bin"/><Relationship Id="rId90" Type="http://schemas.openxmlformats.org/officeDocument/2006/relationships/oleObject" Target="embeddings/oleObject26.bin"/><Relationship Id="rId9" Type="http://schemas.openxmlformats.org/officeDocument/2006/relationships/oleObject" Target="embeddings/oleObject1.bin"/><Relationship Id="rId89" Type="http://schemas.openxmlformats.org/officeDocument/2006/relationships/image" Target="media/image57.emf"/><Relationship Id="rId88" Type="http://schemas.openxmlformats.org/officeDocument/2006/relationships/oleObject" Target="embeddings/oleObject25.bin"/><Relationship Id="rId87" Type="http://schemas.openxmlformats.org/officeDocument/2006/relationships/oleObject" Target="embeddings/oleObject24.bin"/><Relationship Id="rId86" Type="http://schemas.openxmlformats.org/officeDocument/2006/relationships/oleObject" Target="embeddings/oleObject23.bin"/><Relationship Id="rId85" Type="http://schemas.openxmlformats.org/officeDocument/2006/relationships/oleObject" Target="embeddings/oleObject22.bin"/><Relationship Id="rId84" Type="http://schemas.openxmlformats.org/officeDocument/2006/relationships/oleObject" Target="embeddings/oleObject21.bin"/><Relationship Id="rId83" Type="http://schemas.openxmlformats.org/officeDocument/2006/relationships/oleObject" Target="embeddings/oleObject20.bin"/><Relationship Id="rId82" Type="http://schemas.openxmlformats.org/officeDocument/2006/relationships/image" Target="media/image56.emf"/><Relationship Id="rId81" Type="http://schemas.openxmlformats.org/officeDocument/2006/relationships/oleObject" Target="embeddings/oleObject19.bin"/><Relationship Id="rId80" Type="http://schemas.openxmlformats.org/officeDocument/2006/relationships/oleObject" Target="embeddings/oleObject18.bin"/><Relationship Id="rId8" Type="http://schemas.openxmlformats.org/officeDocument/2006/relationships/image" Target="media/image1.png"/><Relationship Id="rId79" Type="http://schemas.openxmlformats.org/officeDocument/2006/relationships/oleObject" Target="embeddings/oleObject17.bin"/><Relationship Id="rId78" Type="http://schemas.openxmlformats.org/officeDocument/2006/relationships/oleObject" Target="embeddings/oleObject16.bin"/><Relationship Id="rId77" Type="http://schemas.openxmlformats.org/officeDocument/2006/relationships/oleObject" Target="embeddings/oleObject15.bin"/><Relationship Id="rId76" Type="http://schemas.openxmlformats.org/officeDocument/2006/relationships/oleObject" Target="embeddings/oleObject14.bin"/><Relationship Id="rId75" Type="http://schemas.openxmlformats.org/officeDocument/2006/relationships/image" Target="media/image55.emf"/><Relationship Id="rId74" Type="http://schemas.openxmlformats.org/officeDocument/2006/relationships/image" Target="media/image54.emf"/><Relationship Id="rId73" Type="http://schemas.openxmlformats.org/officeDocument/2006/relationships/image" Target="media/image53.wmf"/><Relationship Id="rId72" Type="http://schemas.openxmlformats.org/officeDocument/2006/relationships/image" Target="media/image52.wmf"/><Relationship Id="rId71" Type="http://schemas.openxmlformats.org/officeDocument/2006/relationships/image" Target="media/image51.wmf"/><Relationship Id="rId70" Type="http://schemas.openxmlformats.org/officeDocument/2006/relationships/image" Target="media/image50.wmf"/><Relationship Id="rId7" Type="http://schemas.openxmlformats.org/officeDocument/2006/relationships/theme" Target="theme/theme1.xml"/><Relationship Id="rId69" Type="http://schemas.openxmlformats.org/officeDocument/2006/relationships/image" Target="media/image49.wmf"/><Relationship Id="rId68" Type="http://schemas.openxmlformats.org/officeDocument/2006/relationships/image" Target="media/image48.wmf"/><Relationship Id="rId67" Type="http://schemas.openxmlformats.org/officeDocument/2006/relationships/image" Target="media/image47.wmf"/><Relationship Id="rId66" Type="http://schemas.openxmlformats.org/officeDocument/2006/relationships/image" Target="media/image46.wmf"/><Relationship Id="rId65" Type="http://schemas.openxmlformats.org/officeDocument/2006/relationships/image" Target="media/image45.wmf"/><Relationship Id="rId64" Type="http://schemas.openxmlformats.org/officeDocument/2006/relationships/image" Target="media/image44.wmf"/><Relationship Id="rId63" Type="http://schemas.openxmlformats.org/officeDocument/2006/relationships/image" Target="media/image43.wmf"/><Relationship Id="rId62" Type="http://schemas.openxmlformats.org/officeDocument/2006/relationships/image" Target="media/image42.wmf"/><Relationship Id="rId61" Type="http://schemas.openxmlformats.org/officeDocument/2006/relationships/image" Target="media/image41.wmf"/><Relationship Id="rId60" Type="http://schemas.openxmlformats.org/officeDocument/2006/relationships/image" Target="media/image40.wmf"/><Relationship Id="rId6" Type="http://schemas.openxmlformats.org/officeDocument/2006/relationships/footer" Target="footer2.xml"/><Relationship Id="rId59" Type="http://schemas.openxmlformats.org/officeDocument/2006/relationships/image" Target="media/image39.wmf"/><Relationship Id="rId58" Type="http://schemas.openxmlformats.org/officeDocument/2006/relationships/image" Target="media/image38.wmf"/><Relationship Id="rId57" Type="http://schemas.openxmlformats.org/officeDocument/2006/relationships/image" Target="media/image37.wmf"/><Relationship Id="rId56" Type="http://schemas.openxmlformats.org/officeDocument/2006/relationships/oleObject" Target="embeddings/oleObject13.bin"/><Relationship Id="rId55" Type="http://schemas.openxmlformats.org/officeDocument/2006/relationships/image" Target="media/image36.wmf"/><Relationship Id="rId54" Type="http://schemas.openxmlformats.org/officeDocument/2006/relationships/oleObject" Target="embeddings/oleObject12.bin"/><Relationship Id="rId53" Type="http://schemas.openxmlformats.org/officeDocument/2006/relationships/image" Target="media/image35.wmf"/><Relationship Id="rId52" Type="http://schemas.openxmlformats.org/officeDocument/2006/relationships/oleObject" Target="embeddings/oleObject11.bin"/><Relationship Id="rId51" Type="http://schemas.openxmlformats.org/officeDocument/2006/relationships/image" Target="media/image34.wmf"/><Relationship Id="rId50" Type="http://schemas.openxmlformats.org/officeDocument/2006/relationships/oleObject" Target="embeddings/oleObject10.bin"/><Relationship Id="rId5" Type="http://schemas.openxmlformats.org/officeDocument/2006/relationships/header" Target="header2.xml"/><Relationship Id="rId49" Type="http://schemas.openxmlformats.org/officeDocument/2006/relationships/image" Target="media/image33.wmf"/><Relationship Id="rId48" Type="http://schemas.openxmlformats.org/officeDocument/2006/relationships/oleObject" Target="embeddings/oleObject9.bin"/><Relationship Id="rId47" Type="http://schemas.openxmlformats.org/officeDocument/2006/relationships/image" Target="media/image32.wmf"/><Relationship Id="rId46" Type="http://schemas.openxmlformats.org/officeDocument/2006/relationships/oleObject" Target="embeddings/oleObject8.bin"/><Relationship Id="rId45" Type="http://schemas.openxmlformats.org/officeDocument/2006/relationships/image" Target="media/image31.wmf"/><Relationship Id="rId44" Type="http://schemas.openxmlformats.org/officeDocument/2006/relationships/oleObject" Target="embeddings/oleObject7.bin"/><Relationship Id="rId43" Type="http://schemas.openxmlformats.org/officeDocument/2006/relationships/image" Target="media/image30.wmf"/><Relationship Id="rId42" Type="http://schemas.openxmlformats.org/officeDocument/2006/relationships/oleObject" Target="embeddings/oleObject6.bin"/><Relationship Id="rId41" Type="http://schemas.openxmlformats.org/officeDocument/2006/relationships/image" Target="media/image29.wmf"/><Relationship Id="rId40" Type="http://schemas.openxmlformats.org/officeDocument/2006/relationships/image" Target="media/image28.wmf"/><Relationship Id="rId4" Type="http://schemas.openxmlformats.org/officeDocument/2006/relationships/footer" Target="footer1.xml"/><Relationship Id="rId39" Type="http://schemas.openxmlformats.org/officeDocument/2006/relationships/oleObject" Target="embeddings/oleObject5.bin"/><Relationship Id="rId38" Type="http://schemas.openxmlformats.org/officeDocument/2006/relationships/image" Target="media/image27.wmf"/><Relationship Id="rId37" Type="http://schemas.openxmlformats.org/officeDocument/2006/relationships/image" Target="media/image26.wmf"/><Relationship Id="rId36" Type="http://schemas.openxmlformats.org/officeDocument/2006/relationships/image" Target="media/image25.png"/><Relationship Id="rId35" Type="http://schemas.openxmlformats.org/officeDocument/2006/relationships/image" Target="media/image24.png"/><Relationship Id="rId34" Type="http://schemas.openxmlformats.org/officeDocument/2006/relationships/image" Target="media/image23.png"/><Relationship Id="rId33" Type="http://schemas.openxmlformats.org/officeDocument/2006/relationships/image" Target="media/image22.png"/><Relationship Id="rId32" Type="http://schemas.openxmlformats.org/officeDocument/2006/relationships/image" Target="media/image21.emf"/><Relationship Id="rId31" Type="http://schemas.openxmlformats.org/officeDocument/2006/relationships/oleObject" Target="embeddings/oleObject4.bin"/><Relationship Id="rId30" Type="http://schemas.openxmlformats.org/officeDocument/2006/relationships/image" Target="media/image20.emf"/><Relationship Id="rId3" Type="http://schemas.openxmlformats.org/officeDocument/2006/relationships/header" Target="header1.xml"/><Relationship Id="rId29" Type="http://schemas.openxmlformats.org/officeDocument/2006/relationships/oleObject" Target="embeddings/oleObject3.bin"/><Relationship Id="rId28" Type="http://schemas.openxmlformats.org/officeDocument/2006/relationships/image" Target="media/image19.emf"/><Relationship Id="rId27" Type="http://schemas.openxmlformats.org/officeDocument/2006/relationships/oleObject" Target="embeddings/oleObject2.bin"/><Relationship Id="rId26" Type="http://schemas.openxmlformats.org/officeDocument/2006/relationships/image" Target="media/image18.png"/><Relationship Id="rId25" Type="http://schemas.openxmlformats.org/officeDocument/2006/relationships/image" Target="media/image17.jpe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8" Type="http://schemas.openxmlformats.org/officeDocument/2006/relationships/fontTable" Target="fontTable.xml"/><Relationship Id="rId107" Type="http://schemas.openxmlformats.org/officeDocument/2006/relationships/numbering" Target="numbering.xml"/><Relationship Id="rId106" Type="http://schemas.openxmlformats.org/officeDocument/2006/relationships/customXml" Target="../customXml/item1.xml"/><Relationship Id="rId105" Type="http://schemas.openxmlformats.org/officeDocument/2006/relationships/image" Target="media/image61.png"/><Relationship Id="rId104" Type="http://schemas.openxmlformats.org/officeDocument/2006/relationships/image" Target="media/image60.png"/><Relationship Id="rId103" Type="http://schemas.openxmlformats.org/officeDocument/2006/relationships/image" Target="media/image59.png"/><Relationship Id="rId102" Type="http://schemas.openxmlformats.org/officeDocument/2006/relationships/image" Target="media/image58.emf"/><Relationship Id="rId101" Type="http://schemas.openxmlformats.org/officeDocument/2006/relationships/oleObject" Target="embeddings/oleObject37.bin"/><Relationship Id="rId100" Type="http://schemas.openxmlformats.org/officeDocument/2006/relationships/oleObject" Target="embeddings/oleObject36.bin"/><Relationship Id="rId10" Type="http://schemas.openxmlformats.org/officeDocument/2006/relationships/image" Target="media/image2.emf"/><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208</Pages>
  <Words>6349</Words>
  <Characters>7408</Characters>
  <Lines>0</Lines>
  <Paragraphs>0</Paragraphs>
  <TotalTime>0</TotalTime>
  <ScaleCrop>false</ScaleCrop>
  <LinksUpToDate>false</LinksUpToDate>
  <CharactersWithSpaces>7679</CharactersWithSpaces>
  <Application>WPS Office_11.8.2.12085_F1E327BC-269C-435d-A152-05C5408002CA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2024-12-23T03:49:00Z</dcterms:created>
  <dc:creator>Administrator</dc:creator>
  <cp:lastModifiedBy> </cp:lastModifiedBy>
  <dcterms:modified xsi:type="dcterms:W3CDTF">2025-02-07T07:42:41Z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2052-11.8.2.12085</vt:lpwstr>
  </property>
  <property fmtid="{D5CDD505-2E9C-101B-9397-08002B2CF9AE}" pid="3" name="ICV">
    <vt:lpwstr>BAACF6415E414BBEB2A3C22A0E363D5D_12</vt:lpwstr>
  </property>
  <property fmtid="{D5CDD505-2E9C-101B-9397-08002B2CF9AE}" pid="4" name="KSOTemplateDocerSaveRecord">
    <vt:lpwstr>eyJoZGlkIjoiYTU0ZmQ1M2NiMTgxZDMwMTFhYzNjZWI0Yzc4MDgwZDkiLCJ1c2VySWQiOiI1NjU1MDcyOTgifQ==</vt:lpwstr>
  </property>
</Properties>
</file>